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3C" w:rsidRPr="00F76D24" w:rsidRDefault="00A1733C" w:rsidP="00F76D24">
      <w:pPr>
        <w:pStyle w:val="Akapitzlist"/>
        <w:numPr>
          <w:ilvl w:val="0"/>
          <w:numId w:val="4"/>
        </w:numPr>
        <w:tabs>
          <w:tab w:val="left" w:pos="1134"/>
        </w:tabs>
        <w:spacing w:line="320" w:lineRule="exact"/>
        <w:rPr>
          <w:rFonts w:cs="Arial"/>
          <w:b/>
          <w:i/>
          <w:sz w:val="20"/>
          <w:szCs w:val="20"/>
        </w:rPr>
      </w:pPr>
      <w:bookmarkStart w:id="0" w:name="_Toc518812267"/>
      <w:bookmarkStart w:id="1" w:name="_Toc518813056"/>
      <w:bookmarkStart w:id="2" w:name="_Toc518813145"/>
      <w:bookmarkStart w:id="3" w:name="_Toc518813230"/>
      <w:bookmarkStart w:id="4" w:name="_Toc518813507"/>
      <w:bookmarkStart w:id="5" w:name="_Toc518813699"/>
      <w:r w:rsidRPr="00F76D24">
        <w:rPr>
          <w:rFonts w:cs="Arial"/>
          <w:b/>
          <w:sz w:val="20"/>
          <w:szCs w:val="20"/>
        </w:rPr>
        <w:t>Zestawienie materiałów</w:t>
      </w:r>
      <w:bookmarkEnd w:id="0"/>
      <w:bookmarkEnd w:id="1"/>
      <w:bookmarkEnd w:id="2"/>
      <w:bookmarkEnd w:id="3"/>
      <w:bookmarkEnd w:id="4"/>
      <w:bookmarkEnd w:id="5"/>
      <w:r w:rsidRPr="00F76D24">
        <w:rPr>
          <w:rFonts w:cs="Arial"/>
          <w:b/>
          <w:sz w:val="20"/>
          <w:szCs w:val="20"/>
        </w:rPr>
        <w:t xml:space="preserve"> do projektu: Modernizacja instalacji okablowania strukturalnego Szkoły Podstawowej </w:t>
      </w:r>
      <w:r w:rsidR="00A43141">
        <w:rPr>
          <w:rFonts w:cs="Arial"/>
          <w:b/>
          <w:sz w:val="20"/>
          <w:szCs w:val="20"/>
        </w:rPr>
        <w:t>we Wrześnicy</w:t>
      </w:r>
      <w:r w:rsidRPr="00F76D24">
        <w:rPr>
          <w:rFonts w:cs="Arial"/>
          <w:b/>
          <w:i/>
          <w:sz w:val="20"/>
          <w:szCs w:val="20"/>
        </w:rPr>
        <w:t>.</w:t>
      </w:r>
    </w:p>
    <w:p w:rsidR="00A1733C" w:rsidRDefault="00A1733C" w:rsidP="00A1733C">
      <w:pPr>
        <w:pStyle w:val="Nagwek2"/>
      </w:pPr>
    </w:p>
    <w:tbl>
      <w:tblPr>
        <w:tblW w:w="4547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497"/>
        <w:gridCol w:w="565"/>
        <w:gridCol w:w="5829"/>
        <w:gridCol w:w="709"/>
        <w:gridCol w:w="777"/>
      </w:tblGrid>
      <w:tr w:rsidR="00A43141" w:rsidRPr="009E69C6" w:rsidTr="00EC674D">
        <w:trPr>
          <w:trHeight w:val="300"/>
        </w:trPr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Nazwa urządzenia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Jedn.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Szafa GPD</w:t>
            </w:r>
          </w:p>
        </w:tc>
      </w:tr>
      <w:tr w:rsidR="00A43141" w:rsidRPr="009E69C6" w:rsidTr="00EC674D">
        <w:trPr>
          <w:trHeight w:val="12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 xml:space="preserve">42U SZAFA Progress o szer. 800 mm - 42U 800x800 (wys. z cokołem 2057 mm) - kolor szary RAL7035, cztery belki w rozstawie 19", drzwi przednie szklane kąt otwarcia 180° z klamką i przyciskiem typu </w:t>
            </w:r>
            <w:proofErr w:type="spellStart"/>
            <w:r w:rsidRPr="009E69C6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>push</w:t>
            </w:r>
            <w:proofErr w:type="spellEnd"/>
            <w:r w:rsidRPr="009E69C6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>, zdejmowane osłony boczne i tylna, płynna regulacja numerowanych belek 19", przepusty kablowe w płycie górnej i dolnej, dach z perforacją, cokół 100mm, obciążalność 700kg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Panel wentylacyjny 4-wentylatorowy dla szaf stojących z termostatem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Przepust kablowy ze szczotką montowany w górze szafy (wejście kabli w górze szafy)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2 prowadnic pionowych 42U - z pokrywą i systemem zatrzaskowym - Progress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poziomujący dla cokołów (zawiera 4 podkładki metalowe, 4 stopki regulowane, 8 nakrętek i wkrętów M8)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Listwy zasilające i uziemiające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19"/1U listwa zasilająca 9-portowa z bolcem z wyłącznikiem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Listwa miedziana - 10 otworów M6, długość 240 mm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Komplet 10 linek uziemiających ż/z - 4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  <w:r w:rsidRPr="009E69C6">
              <w:rPr>
                <w:rFonts w:ascii="Calibri" w:eastAsia="Times New Roman" w:hAnsi="Calibri" w:cs="Calibri"/>
                <w:b w:val="0"/>
                <w:color w:val="000000"/>
                <w:kern w:val="0"/>
                <w:sz w:val="20"/>
                <w:szCs w:val="20"/>
                <w:lang w:eastAsia="pl-PL"/>
              </w:rPr>
              <w:t>²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długość 250 mm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Półki 19"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Półka stała 1U - gł. 450 mm - mocowanie na 2 belkach 19'' -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max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. nośność 25 kg ( dla kontrolera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UC-CK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montowana na tylnych belkach szafy GPD na wysokości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US-8-150W)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Panele RJ45 i </w:t>
            </w:r>
            <w:proofErr w:type="spellStart"/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organizery</w:t>
            </w:r>
            <w:proofErr w:type="spellEnd"/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Panel UTP kat.6, 24*RJ45, 19''/1U, RAL 7035 szary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Organizer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poziomy kabli 19"/1U, RAL 7035 szary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montażowy 4x (śruba, podkładka, nakrętka)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miedziane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kat.6 U/UTP, LSOH, 350MHz, 25 lat gwarancji -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box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305m (szacunkowo przyjęto 50,0 m na każdą linię)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3 400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krosowe miedziane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krosowy RJ45-RJ45, kat.6 klasa E U/UTP, szary 1,0m (połączenia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patchpanel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100% punktów logicznych i połączenie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kontroler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krosowy RJ45-RJ45, kat.6 klasa E U/UTP, szary 5,0m (do podłączenia Access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Pointów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Przełącznice światłowodowe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Panel światłowodowy 19”/1U, 12xSC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simplex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/MTRJ/E2000/LC duplex, 1U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Kaseta światłowodowa dla 12 włókien do montażu w panelach światłowodowych – kompletna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Adapter -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coupler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SC/APC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jednomodowy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simplex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ferrula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ceramiczna, plastikowa obudowa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Pigtail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SC APC 9/125 µm,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jednomodowy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2,0m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Osłona termiczna spawu 45mm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światłowodowe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Światłowodowy kabel uniwersalny,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jednotubowy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SM 9/125, 12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włóknowy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LSOH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Patchcordy</w:t>
            </w:r>
            <w:proofErr w:type="spellEnd"/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 światłowodowe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Patchcord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SC-LC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9/125 µm duplex,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jednomodowy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0,5m (połączenia między przełącznicą światłowodową a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switchem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Patchcord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LC-LC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9/125 µm duplex,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jednomodowy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0,5m (połączenia między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switchami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Punkty logiczne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Adapter 22,5x45 mm do modułów 1xRJ45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keystone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(RAL 9010)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Moduł RJ45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keystone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kat. 6 UTP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Urządzenia aktywne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Zarządzalny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przełącznik sieciowy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Ubiquiti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- 8 portów Gigabit Ethernet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+ IEEE 802.3at/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af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i 24V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Passive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oraz 2 porty SFP (sieć bezprzewodowa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Zarządzalny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przełącznik sieciowy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Ubiquiti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- 24 porty Gigabit Ethernet oraz 2 porty SFP, 1U (sieć komputerowa)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FIBERTECHNIC MODUŁ SFP 1000Base-LX SM 1310nm 10KM LC DUPLEX DDM (połączenia między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switchami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Access Point - technologia 3x3 11AC MIMO, prędkości do 450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Mbps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2,4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GHz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i 1000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Mbps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5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GHz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zastosowanie wewnątrz i na zewnątrz budynków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Kontroler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(montaż w szafie GPD)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UPS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UPS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Vision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Dual 1100VA/990W; obudowa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tower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/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rack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;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line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interactive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(VI); układ faz 1:1; czas podtrzymania 5 min przy PF=0,8; 2U (szafa GPD)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Uchwyt do montażu UPS w szafach RACK o rozstawie głębokości od 600-1000 mm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Karta komunikacji sieciowej SNMP, wersja wtykowa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UPS Net Power 600VA/360W; obudowa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tower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;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line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interactive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(VI), układ faz 1:1; czas podtrzymania 5 min (szafa PPD)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PowerShield3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f.v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.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licence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(zarządzanie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UPSami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w tej samej sieci lokalnej)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470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Trasy kablowe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Kanał PK 90x55 D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272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końcowa 8401 (PK 90X55D)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łącząca 8402 (PK 90X55D)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kątowa 8403 (PK 90X55D)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odgałęźna 8404 (PK 90X55D)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narożna wewnętrzna 8405 (PK 90X55D)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narożna zewnętrzna 8406 (PK 90X55D)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3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przepustowa 8407 (PK 90X55D)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255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Drabinka kablowa D100H45, grubość blachy 1,2mm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A43141" w:rsidRPr="009E69C6" w:rsidTr="00EC674D">
        <w:trPr>
          <w:trHeight w:val="255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Łącznik drabinek H45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255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Uchwyt kablowy zaczepowy śr.22-28mm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255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Uchwyt trójkątny do mocowania drabinki do podłoża, wys. 66mm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600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Śruba M8x14 z łbem grzybkowym + nakrętka kołnierzowa ząbkowana (do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łacznika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i uchwytu trójkątnego)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255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Śruba rozporowa pierścieniowa M8x75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43141" w:rsidRPr="009E69C6" w:rsidTr="00EC674D">
        <w:trPr>
          <w:trHeight w:val="255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Rura elektroinstalacyjna karbowana odporna na promieniowanie UV, 750N, </w:t>
            </w:r>
            <w:proofErr w:type="spellStart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śr</w:t>
            </w:r>
            <w:proofErr w:type="spellEnd"/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 25/20mm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A43141" w:rsidRPr="009E69C6" w:rsidTr="00EC674D">
        <w:trPr>
          <w:trHeight w:val="255"/>
        </w:trPr>
        <w:tc>
          <w:tcPr>
            <w:tcW w:w="2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Uchwyt zamknięty do rur 25mm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3141" w:rsidRPr="009E69C6" w:rsidRDefault="00A43141" w:rsidP="00457412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E69C6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</w:tbl>
    <w:p w:rsidR="000B55BD" w:rsidRDefault="000B55BD" w:rsidP="00A1733C"/>
    <w:p w:rsidR="000B55BD" w:rsidRDefault="000B55BD">
      <w:pPr>
        <w:widowControl/>
        <w:suppressAutoHyphens w:val="0"/>
        <w:ind w:left="284"/>
        <w:jc w:val="both"/>
      </w:pPr>
    </w:p>
    <w:p w:rsidR="00A1733C" w:rsidRPr="00F76D24" w:rsidRDefault="00A1733C" w:rsidP="00F76D24">
      <w:pPr>
        <w:pStyle w:val="Akapitzlist"/>
        <w:numPr>
          <w:ilvl w:val="0"/>
          <w:numId w:val="4"/>
        </w:numPr>
        <w:jc w:val="left"/>
      </w:pPr>
      <w:r w:rsidRPr="00F76D24">
        <w:rPr>
          <w:b/>
        </w:rPr>
        <w:t>Zestawienie sprzętu dodatkowego</w:t>
      </w:r>
      <w:r w:rsidR="00F76D24" w:rsidRPr="00F76D24">
        <w:rPr>
          <w:b/>
        </w:rPr>
        <w:t xml:space="preserve"> </w:t>
      </w:r>
      <w:r w:rsidRPr="00F76D24">
        <w:t xml:space="preserve">(o parametrach nie gorszych niż wymienione w tabeli poniżej) </w:t>
      </w:r>
    </w:p>
    <w:p w:rsidR="00D17B64" w:rsidRDefault="00D17B64">
      <w:pPr>
        <w:rPr>
          <w:b w:val="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8292"/>
        <w:gridCol w:w="424"/>
        <w:gridCol w:w="496"/>
      </w:tblGrid>
      <w:tr w:rsidR="00A1733C" w:rsidRPr="00510FAE" w:rsidTr="000B55BD">
        <w:trPr>
          <w:trHeight w:val="300"/>
        </w:trPr>
        <w:tc>
          <w:tcPr>
            <w:tcW w:w="4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UTM + 3 letnia licencja na użytkowanie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1.  Typ urządzenia: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 Urządzenie klasy UTM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Unified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Threat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Management)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2.  Wyposażenie: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 4 interfejsów LAN typu 1000Base-T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b.  1 </w:t>
            </w:r>
            <w:proofErr w:type="spellStart"/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interfejs</w:t>
            </w:r>
            <w:proofErr w:type="spellEnd"/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WAN / Internet </w:t>
            </w:r>
            <w:proofErr w:type="spellStart"/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typu</w:t>
            </w:r>
            <w:proofErr w:type="spellEnd"/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1000Base-T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 Interfejs USB do podłączenia modemu 3G/4G/LTE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3.  Parametry wydajnościowe: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 Wydajność zapory ogniowej L3: 250 Mb/s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b.  Wydajność zapory ogniowej z włączonym wszystkimi funkcjami bezpieczeństwa: 200 Mb/s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Wydajność IDS: 200 Mb/s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d.  Wydajność urządzenia z włączonymi wszystkimi funkcjami bezpieczeństwa (NAT, VPN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Split-tunnel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), filtrowanie treści,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traffic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shaping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anti-virus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anti-phishing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, IPS): 200 Mb/s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e.  Minimalna ilość połączeń: 100 000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f.  Minimalna ilość połączeń na sekundę: 5000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g.  Przepustowość dla ruch VPN: 100 Mb/s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h.  Minimalna liczba sesji VPN: 25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4.  Parametry fizyczne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a.  możliwość montażu w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19’’ lub montażu na ścianie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b.  wysokość nie większa niż 1U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c.  praca w temperaturach 0 – 40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st.C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5.  Funkcje zintegrowanego systemu zarządzania zagrożeniami UTM obejmującego: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a. 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Firewalling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ruchu sieciowego w warstwie 3 - filtracja na podstawie: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protokołu sieciowego (TCP/UDP/dowolny);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źródłowe adresy IP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źródłowe porty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docelowe adresy IP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docelowe porty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b.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Firewalling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ruchu aplikacyjnego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typu aplikacji w warstwie 7 – filtracja na podstawie następujących kategorii aplikacji internetowych: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Blogging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Email, File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Sharing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Gaming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News,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Online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backup,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Peer-to-peer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Social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Web, Photo sparing, Software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updates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Anti-virus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updates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Sports, Video, Music, VOIP, Video Conferencing, Web file sharing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blokowania ruchu do zdefiniowanego serwera http przez podanie domeny sieciowej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blokowania ruchu internetowego na podstawie kryterium geograficznego (kraje)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blokowania ruchu poprzez podanie zakresów adresów IP i portów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Ograniczanie ruchu sieciowego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traffic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shaping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Na łączach WAN niezależnie dla każdego łącza poprzez podanie z dokładnością do 1 Mb/s określonych wartości dla kierunku UP (na zewnątrz) oraz DOWN (do wewnątrz) 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Na łączu komórkowym 3G/4G/LTE poprzez podanie z dokładnością do 100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/s określonych wartości dla kierunku UP (na zewnątrz) oraz DOWN (do wewnątrz) 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Na użytkownika sieci poprzez podanie limitu z dokładnością do 100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/s określonych 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>wartości dla kierunku UP (na zewnątrz) oraz DOWN (do wewnątrz)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Dla określonego ruchu aplikacyjnego w warstwie 7 dokładnością do 10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 określonych wartości dla kierunku UP (na zewnątrz) oraz DOWN (do wewnątrz):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Tworzenie do 8 reguł ograniczających ruch sieciowy, z których każda może się składać z dowolnej kombinacji aplikacji sieciowych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Możliwość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priorytetyzacji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ruchu (wysoki priorytet, normalny priorytet, niski priorytet) oraz oznaczania ruchu danym znacznikiem DSCP (od 0 do 7)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d. Blokowanie stron internetowych URL zgodne z CIPA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Children's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Internet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Protection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Act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) i należących do 70 różnych kategorii w tym: narkotyki, treści dla dorosłych oraz treści pornograficzne, alkohol i tytoń, aukcje,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botnety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potwierdzone i niepotwierdzone źródła spamu, strony o charakterze okultystycznym, portale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randkowe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moda i uroda, hazard, gry, strony wulgarne, strony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hakerskie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rasizm oraz szerzenie nienawiści, strony nielegalne, wyszukiwarki zdjęć oraz filmów,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keyloggery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oraz monitory stacji, źródła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malware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wojskowość i militaria, oprogramowanie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peer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to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peer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strony płatne,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blogi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phishing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serwisy umożliwiające omijanie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proxy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oraz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anonimizację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 sieci Internet, wyszukiwarki,  edukacja seksualna, oprogramowanie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shareware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oraz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freeware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zakupy,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social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networking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spyware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oraz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adware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, media strumieniowe, przemoc, broń, ogłoszenia sieciowe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d. Blokowanie treści dla dorosłych w wynikach działania najpopularniejszych wyszukiwarek internetowych: Google, Yahoo, Bing – funkcja działa dla wyszukiwania niezaszyfrowanego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e.  Blokowanie dostępu do zaszyfrowanego wyszukiwania treści internetowych w serwisie Google.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f.  </w:t>
            </w:r>
            <w:proofErr w:type="spellStart"/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Funkcja</w:t>
            </w:r>
            <w:proofErr w:type="spellEnd"/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YouTube for Schools                 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g.  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definiowana własnej listy zabronionych (czarna lista) lub dozwolonych (biała lista) stron URL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h.  Wykrywanie i ochrona przed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malware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i.  Ochrona antywirusowa i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antyphishingowa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j.  Ochrona IPS i IDS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6.  Monitoring i analiza ruchu sieciowego w zakresie: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 Wykres ilości ruchu generowanego przez wszystkich użytkowników, jednego użytkownika lub grupę użytkowników w ciągu ostatniego dnia, ostatniego tygodnia i ostatniego miesiąca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b.  Wykres ilości użytkowników podłączonych do sieci chronionej w ciągu ostatniego dnia, ostatniego tygodnia i ostatniego miesiąca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 Szczegółowe informacje, jakie aplikacje sieciowe używają użytkownicy w sieci chronionej dla wszystkich użytkowników lub dla wybranego użytkownika z podaniem wolumenu przesłanego ruchu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7.  Funkcje koncentratora VPN dla łączenia ze sobą placówek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site-to-site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vpn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przy użyciu tuneli IPSEC i 128-bitowego szyfrowania AES) oraz dla podłączenia urządzeń klienckich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Client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VPN):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a. Dla połączeń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site-to-site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obsługa trybu pracy tuneli VPN gdy cały ruch sieciowy jest tunelowany przez VPN lub trybu gdy ruch do publicznego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internetu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jest przesyłany bezpośrednio do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internetu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poza tunelem a ruch prywatny jest tunelowany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obsługa topologii gwiazdy lub pełnej siatki połączeń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Blokowanie ruchu sieciowego na poziomie reguł warstwy 3 wymienianego pomiędzy lokalizacjami połączonymi poprzez VPN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b. Dla połączeń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Client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VPN: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obsługa protokołu L2TP dla urządzeń klienckich typu: Windows, Mac OS, IOS lub Android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Automatyczna rejestracja do dynamicznego DNS na potrzeby dostępu VPN dla Klientów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Client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VPN) z możliwością zdefiniowana nazwy dla każdego z linków WAN niezależnie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8.  Funkcje routera do sieci Internet w zakresie: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a.  Fizyczne podłączenie do łącza lub łączy internetowych operatora (1 x WAN w postaci interfejsu Ethernet 1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/s) + interfejs USB do podłączenia modemu 3G/4G/LTE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b.  NAT / PAT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 Tryb pracy przeźroczystej (Bridge warstwy 2)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>d.  Serwer DHCP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e. 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Routing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statyczny IP pomiędzy sieciami VLAN (po stronie LAN) i WAN oraz pomiędzy sieciami VLAN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f.  Wykorzystanie dwóch łączy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uplinkowych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WAN do sieci Internet w zakresie: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Load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balancing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ruchu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Wskazanie jaki ruch sieciowy (protokół, źródłowy adres IP, źródłowy port, docelowy adres IP, docelowy port) mają zostać skierowane do którego łącza WAN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Wykorzystanie łącza nr 2 w momencie awarii łącza nr 1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9.  Zarządzanie, monitorowanie i utrzymanie urządzenia: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Monitoring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Status urządzenia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Status interfejsów WAN wraz z przypisanymi adresami IP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Dostęp do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event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loga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związanego z danym urządzeniem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Status portów LAN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Bieżący wykres ruchu internetowego (w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 lub Mb/s) odświeżany na bieżąco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Lista stacji sieciowy dzierżawiących adresy IP przez DHCP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restartu zdalnego urządzenia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Wysyłania alertów mailowych na wskazane adresy mailowe w przypadku, gdy: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Urządzenie jest niedostępne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offline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Zmiana statusu podstawowego łącza WAN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Wyczerpanie puli adresów IP serwera DHCP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Wykrycie w sieci nielegalnego serwera DHCP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b. Konfiguracja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Konfiguracja i uruchomienie sieci VPN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site-to-site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Konfiguracja i zmiana ustawień w zakresie: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Tryb pracy, jako router lub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bridge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warstwy 3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NAT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Routing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statyczny i konfiguracja sieci VLAN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Serwer DHCP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Filtry warstwy 3 i filtry aplikacyjne warstwy 7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Filtry treści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Polityki ograniczenia pasma sieciowego do poziomu reguł obejmujących kombinacje aplikacji sieciowych warstwy 7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Konfiguracja grup użytkowników wraz z możliwością zdefiniowania dla grupy użytkowników następujących parametrów: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 Godziny i dni tygodnia dostępności lub niedostępności dostępu do sieci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a.ii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Ograniczenie pasma transmisji 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a.iii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Określenie reguł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firewallingu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 warstwie 3 i 7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a.iv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 Określenie reguł ograniczania ruchu sieciowego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traffic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shaping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a.v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 Określenie reguł filtracji stron i treści internetowych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a.vi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 Określenie listy dozwolonych i niedozwolonych adresów URL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a.vii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Uruchomienie lub wyłączenie filtrowania wyników przeszukiwania w 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>wyszukiwarkach internetowych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a.viii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Włączenie lub wyłączenie funkcji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YouTube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for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Schools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Utrzymanie: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>Automatyczna aktualizacja oprogramowania jednego lub wielu urządzeń z możliwością określenia okna czasowego, kiedy taka czynność może zostać wykonana przez system zarządzający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 xml:space="preserve">Informowanie administratora o dostępności nowej wersji oprogramowania dla danego typu urządzenia z możliwością zablokowania automatycznego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upgrade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określenia, kiedy ma być wykonany lub natychmiastowego wykonania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upgrade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10.  Urządzenie obsługuje SNMP v2c oraz SYSLOG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11.  Urządzenie obsługuje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PPPoE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dla łącza WAN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12.  Wymagania dodatkowe: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>Urządzenia objęte gwarancją „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lifetime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warranty” oraz serwisem wymiany urządzenia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>next-business-day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>Zarządzanie i monitorowanie urządzeniem bezpieczeństwa UTM lub grupą takich urządzeń odbywa się poprzez aplikację zarządzającą dostępną w chmurze.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13. Jeśli niezbędne to wymaga się dostarczenia na urządzenie 3 – letniego  wsparcia oraz  3 letniej  licencji na jego wykorzystanie w zakresie opisanych funkcjonalności oraz serwisu wymiany urządzenia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next-business-day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510FAE" w:rsidTr="000B55BD">
        <w:trPr>
          <w:trHeight w:val="300"/>
        </w:trPr>
        <w:tc>
          <w:tcPr>
            <w:tcW w:w="4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5BD" w:rsidRDefault="00A1733C" w:rsidP="00457412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Router </w:t>
            </w:r>
            <w:proofErr w:type="spellStart"/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19”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Częstotliwość procesora - 1.4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rdzeni procesora - 2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pamięci RAM  - 1 GB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Porty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ethernet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10/100/1000 - 10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Gniazdo zasilania - 1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in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Tak (pasywne)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out - Tak (port 10)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Monitor temperatury płytki PCB - Tak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Wymiary - 1U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Maksymalny pobór mocy  - 10 W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Port SFP - 1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Liczba portów USB – 1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Port szeregowy RJ45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510FAE" w:rsidTr="000B55BD">
        <w:trPr>
          <w:trHeight w:val="300"/>
        </w:trPr>
        <w:tc>
          <w:tcPr>
            <w:tcW w:w="4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sz w:val="20"/>
                <w:szCs w:val="20"/>
                <w:lang w:eastAsia="pl-PL"/>
              </w:rPr>
              <w:t>Serwer z oprogramowaniem</w:t>
            </w:r>
          </w:p>
          <w:p w:rsidR="00A1733C" w:rsidRPr="00A1733C" w:rsidRDefault="00A1733C" w:rsidP="00457412">
            <w:pPr>
              <w:pStyle w:val="NormalnyWeb"/>
              <w:shd w:val="clear" w:color="auto" w:fill="FFFFFF"/>
              <w:spacing w:after="300" w:line="276" w:lineRule="auto"/>
              <w:rPr>
                <w:rFonts w:ascii="Arial" w:hAnsi="Arial" w:cs="Arial"/>
                <w:i/>
                <w:sz w:val="20"/>
                <w:szCs w:val="28"/>
              </w:rPr>
            </w:pPr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Serwer typu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rack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do pracowni terminalowej o parametrach nie gorszych niż: Procesor: dwa procesory posiadające minimum 8 rdzeni i 16 wątków oraz taktowaniu 2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GHz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, przy czym min. dwa procesory osiągające min 17700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pkt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w teście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PassMarkHigh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End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CPUs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http://cpubenchmark.net/cpu_list.php wraz z dedykowanym chłodzeniem uwzględniającym pełną wydajność procesora.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W przypadku zaoferowania procesora nie uwzględnionego w w/w rankingu Wykonawca przeprowadzi powyżej wskazany test we własnym zakresie i załączy do oferty raport wydajnościowy oferowanego procesora (wszystkie elementy muszą pracować z parametrami określonymi przez producenta danego podzespołu).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Nie dopuszcza się stosowania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overclocking-u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celem uzyskania wymaganej liczby punktów.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Płyta serwerowa: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rack/tower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, kompatybilna z procesorami, wersja PCI Express 3.0, zintegrowane karty sieci LAN 2x10GbE. Płyta posiada zintegrowany moduł zarządzający. 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Pamięć RAM: 4 x 16GB  RDIMM DDR4 2400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MHz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; 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Dysk twardy: 1 x 400 GB, 2,5  SSD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Dysk twardy: 1TB HDD SATA III - 6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Gb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/s7200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obr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/min 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Karta dźwiękowa wewnętrzna: Interfejs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PCIe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>, Liczba kanałów audio 5.1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Karta graficzna: dedykowana, uzyskująca co najmniej 9 200pkt w teście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Passmark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– G3D Mark według wyników kart graficznych publikowanych na stronie www.videocardbenchmark.net/gpu_list.php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W przypadku zaoferowania karty graficznej nie uwzględnionej w w/w rankingu Wykonawca przeprowadzi powyżej wskazany test we własnym zakresie i załączy do oferty raport wydajnościowy oferowanego procesora (wszystkie elementy muszą pracować z parametrami określonymi przez producenta danego podzespołu).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Napęd DVD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Serwer musi być wyposażony w wszelkie akcesoria potrzebne do prawidłowej konfiguracji oraz montażu w szafie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rack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Serwer będzie miał system tworzenia kopii zapasowej i backupu który przywraca działanie systemu operacyjnego w przypadku jego całkowitego uszkodzenia.</w:t>
            </w:r>
          </w:p>
          <w:p w:rsidR="00A1733C" w:rsidRPr="00A1733C" w:rsidRDefault="00A1733C" w:rsidP="00457412">
            <w:pPr>
              <w:spacing w:line="240" w:lineRule="auto"/>
              <w:rPr>
                <w:rFonts w:cs="Arial"/>
                <w:b w:val="0"/>
                <w:i/>
                <w:sz w:val="20"/>
                <w:szCs w:val="28"/>
              </w:rPr>
            </w:pPr>
            <w:r w:rsidRPr="00A1733C">
              <w:rPr>
                <w:rFonts w:cs="Arial"/>
                <w:b w:val="0"/>
                <w:i/>
                <w:sz w:val="20"/>
                <w:szCs w:val="28"/>
              </w:rPr>
              <w:t xml:space="preserve">Gwarancja 3 lata od daty dostawy w miejscu instalacji serwera usunięcie awarii w ciągu 5 dni roboczych po odebraniu zgłoszenia, a w przypadku braku możliwości naprawy w w/w </w:t>
            </w:r>
            <w:r w:rsidRPr="00A1733C">
              <w:rPr>
                <w:rFonts w:cs="Arial"/>
                <w:b w:val="0"/>
                <w:i/>
                <w:sz w:val="20"/>
                <w:szCs w:val="28"/>
              </w:rPr>
              <w:lastRenderedPageBreak/>
              <w:t>terminie podstawienie sprzętu zastępczego o nie gorszych parametrach technicznych. W przypadku awarii dysków twardych w okresie gwarancji, dyski  pozostają u Zamawiającego — wymagane jest dołączenie do oferty oświadczenia podmiotu realizującego serwis tub producenta sprzętu o spełnieniu tego warunku.</w:t>
            </w:r>
          </w:p>
          <w:p w:rsidR="00A1733C" w:rsidRPr="00A1733C" w:rsidRDefault="00A1733C" w:rsidP="00457412">
            <w:pPr>
              <w:spacing w:line="240" w:lineRule="auto"/>
              <w:rPr>
                <w:rFonts w:cs="Arial"/>
                <w:b w:val="0"/>
                <w:i/>
                <w:sz w:val="20"/>
                <w:szCs w:val="28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oprogramowanie serwerowe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Serwer będzie posiadał zainstalowane i skonfigurowane oprogramowanie serwerowe (licencja na min 16 rdzeni procesora) o parametrach nie gorszych niż 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Licencje na serwerowy system operacyjny muszą być przypisane do każdego rdzenia procesora fizycznego na serwerze. Licencja musi uprawniać do uruchamiania serwerowego systemu operacyjnego w środowisku fizycznym i dwóch wirtualnych środowisk serwerowego systemu operacyjnego niezależnie od liczby rdzeni w serwerze fizycznym.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Serwerowy system operacyjny musi posiadać następujące, wbudowane cechy.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1. Możliwość wykorzystania 320 logicznych procesorów oraz co najmniej 4 TB pamięci RAM w środowisku fizycznym.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2. Możliwość wykorzystywania 64 procesorów wirtualnych oraz 1TB pamięci RAM i dysku o pojemności do 64TB przez każdy wirtualny serwerowy system operacyjny.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3. Możliwość budowania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klastrów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składających się z 64 węzłów, z możliwością uruchamiania 7000 maszyn wirtualnych.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4. Możliwość migracji maszyn wirtualnych bez zatrzymywania ich pracy między fizycznymi serwerami z uruchomionym mechanizmem wirtualizacji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hypervisor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 przez sieć Ethernet, bez konieczności stosowania dodatkowych mechanizmów współdzielenia pamięci.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5. Wsparcie (na umożliwiającym to sprzęcie) dodawania i wymiany pamięci RAM bez przerywania pracy.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6. Wsparcie (na umożliwiającym to sprzęcie) dodawania i wymiany procesorów bez przerywania pracy.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7. Automatyczna weryfikacja cyfrowych sygnatur sterowników w celu sprawdzenia, czy sterownik przeszedł testy jakości przeprowadzone przez producenta systemu operacyjnego.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8. Możliwość dynamicznego obniżania poboru energii przez rdzenie procesorów niewykorzystywane w bieżącej pracy. Mechanizm ten musi uwzględniać specyfikę procesorów wyposażonych w mechanizmy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Hyper-Threading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9. Wbudowane wsparcie instalacji i pracy na wolumenach, które: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a) pozwalają na zmianę rozmiaru w czasie pracy systemu,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b) umożliwiają tworzenie w czasie pracy systemu migawek, dających użytkownikom końcowym (lokalnym i sieciowym) prosty wgląd w poprzednie wersje plików i folderów,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c)umożliwiają kompresję "w locie" dla wybranych plików i/lub folderów,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d) umożliwiają zdefiniowanie list kontroli dostępu (ACL).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10. Wbudowany mechanizm klasyfikowania i indeksowania plików (dokumentów) w oparciu o ich zawartość.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11. Wbudowane szyfrowanie dysków przy pomocy mechanizmów posiadających certyfikat FIPS 140-2 lub równoważny wydany przez NIST lub inną agendę rządową zajmującą się bezpieczeństwem informacji.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12. Możliwość uruchamianie aplikacji internetowych wykorzystujących technologię ASP.NET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13. Możliwość dystrybucji ruchu sieciowego HTTP pomiędzy kilka serwerów.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14. Wbudowana zapora internetowa (firewall) z obsługą definiowanych reguł dla ochrony połączeń internetowych i intranetowych.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15. Dostępne dwa rodzaje graficznego interfejsu użytkownika: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a) Klasyczny, umożliwiający obsługę przy pomocy klawiatury i myszy,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b) Dotykowy umożliwiający sterowanie dotykiem na monitorach dotykowych.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16. Zlokalizowane w języku polskim, co najmniej następujące elementy: menu, przeglądarka internetowa, pomoc, komunikaty systemowe.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17. Możliwość zmiany języka interfejsu po zainstalowaniu systemu, dla co najmniej 10 języków poprzez wybór z listy dostępnych lokalizacji.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18. Mechanizmy logowania w oparciu o: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a) Login i hasło,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b) Karty z certyfikatami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smartcard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c) Wirtualne karty (logowanie w oparciu o certyfikat chroniony poprzez moduł TPM),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19. Możliwość wymuszania wieloelementowej dynamicznej kontroli dostępu dla: określonych grup użytkowników, zastosowanej klasyfikacji danych, centralnych polityk dostępu w sieci, centralnych polityk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audytowych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oraz narzuconych dla grup użytkowników </w:t>
            </w: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lastRenderedPageBreak/>
              <w:t>praw do wykorzystywania szyfrowanych danych..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20. Wsparcie dla większości powszechnie używanych urządzeń peryferyjnych (drukarek, urządzeń sieciowych, standardów USB,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Plug&amp;Play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21. Możliwość zdalnej konfiguracji, administrowania oraz aktualizowania systemu.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22. Dostępność bezpłatnych narzędzi producenta systemu umożliwiających badanie i wdrażanie zdefiniowanego zestawu polityk bezpieczeństwa.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23. Pochodzący od producenta systemu serwis zarządzania polityką dostępu do informacji w dokumentach (Digital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Rights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Management).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24. Wsparcie dla środowisk Java i .NET Framework 4.x – możliwość uruchomienia aplikacji działających we wskazanych środowiskach.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25. Możliwość implementacji następujących funkcjonalności bez potrzeby instalowania dodatkowych produktów (oprogramowania) innych producentów wymagających dodatkowych licencji: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a) Podstawowe usługi sieciowe: DHCP oraz DNS wspierający DNSSEC,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b) Usługi katalogowe oparte o LDAP i pozwalające na uwierzytelnianie użytkowników stacji roboczych, bez konieczności instalowania dodatkowego oprogramowania na tych stacjach, pozwalające na zarządzanie zasobami w sieci (użytkownicy, komputery, drukarki, udziały sieciowe), z możliwością wykorzystania następujących funkcji: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Podłączenie do domeny w trybie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offline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– bez dostępnego połączenia sieciowego z domeną,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Ustanawianie praw dostępu do zasobów domeny na bazie sposobu logowania użytkownika – na przykład typu certyfikatu użytego do logowania,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Odzyskiwanie przypadkowo skasowanych obiektów usługi katalogowej z mechanizmu kosza.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Bezpieczny mechanizm dołączania do domeny uprawnionych użytkowników prywatnych urządzeń mobilnych opartych o systemy operacyjne.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c) Zdalna dystrybucja oprogramowania na stacje robocze.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d) Praca zdalna na serwerze z wykorzystaniem terminala (cienkiego klienta) lub odpowiednio skonfigurowanej stacji roboczej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e) Centrum Certyfikatów (CA), obsługa klucza publicznego i prywatnego) umożliwiające: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Dystrybucję certyfikatów poprzez http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Konsolidację CA dla wielu lasów domeny,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Automatyczne rejestrowania certyfikatów pomiędzy różnymi lasami domen,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Automatyczne występowanie i używanie (wystawianie) certyfikatów PKI X.509.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f) Szyfrowanie plików i folderów.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g) Szyfrowanie połączeń sieciowych pomiędzy serwerami oraz serwerami i stacjami roboczymi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IPSec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h) Możliwość tworzenia systemów wysokiej dostępności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klastry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typu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fail-over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 oraz rozłożenia obciążenia serwerów.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i) Serwis udostępniania stron WWW.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j) Wsparcie dla protokołu IP w wersji 6 (IPv6),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k) Wsparcie dla algorytmów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Suite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B (RFC 4869),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l) Wbudowane usługi VPN pozwalające na zestawienie nielimitowanej liczby równoczesnych połączeń i niewymagające instalacji dodatkowego oprogramowania na komputerach z systemem operacyjnym,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ł) Wbudowane mechanizmy wirtualizacji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Hypervisor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) pozwalające na uruchamianie do 1000 aktywnych środowisk wirtualnych systemów operacyjnych. Wirtualne maszyny w trakcie pracy i bez zauważalnego zmniejszenia ich dostępności mogą być przenoszone pomiędzy serwerami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klastra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typu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failover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z jednoczesnym zachowaniem pozostałej funkcjonalności. Mechanizmy wirtualizacji mają zapewnić wsparcie dla: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Dynamicznego podłączania zasobów dyskowych typu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hot-plug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do maszyn wirtualnych,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Obsługi ramek typu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jumbo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frames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dla maszyn wirtualnych.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Obsługi 4-KB sektorów dysków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Nielimitowanej liczby jednocześnie przenoszonych maszyn wirtualnych pomiędzy węzłami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klastra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Możliwości wirtualizacji sieci z zastosowaniem przełącznika, którego funkcjonalność może być rozszerzana jednocześnie poprzez oprogramowanie kilku innych dostawców poprzez otwarty interfejs API.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Możliwości kierowania ruchu sieciowego z wielu sieci VLAN bezpośrednio do pojedynczej karty sieciowej maszyny wirtualnej (tzw.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trunk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mode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lastRenderedPageBreak/>
              <w:t>26. Możliwość automatycznej aktualizacji w oparciu o poprawki publikowane przez producenta wraz z dostępnością bezpłatnego rozwiązania producenta serwerowego systemu operacyjnego umożliwiającego lokalną dystrybucję poprawek zatwierdzonych przez administratora, bez połączenia z siecią Internet.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27. Wsparcie dostępu do zasobu dyskowego poprzez wiele ścieżek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Multipath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28. Możliwość instalacji poprawek poprzez wgranie ich do obrazu instalacyjnego.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29. Mechanizmy zdalnej administracji oraz mechanizmy (również działające zdalnie) administracji przez skrypty.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30. Możliwość zarządzania przez wbudowane mechanizmy zgodne ze standardami WBEM oraz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WS-Management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organizacji DMTF.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31. Zorganizowany system szkoleń i materiały edukacyjne w języku polskim.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Serwer będzie posiadał zainstalowane i skonfigurowane oprogramowanie do filtrowania treści o parametrach nie gorszych niż :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Oprogramowanie musi mieć polską wersję językową.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Oprogramowanie musi spełniać wymagania Ustawy - Prawo oświatowe w zakresie wymogu instalacji i aktualizacji w szkole oprogramowania do zabezpieczeń.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510FAE" w:rsidTr="000B55BD">
        <w:trPr>
          <w:trHeight w:val="300"/>
        </w:trPr>
        <w:tc>
          <w:tcPr>
            <w:tcW w:w="4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Serwer plików NAS + 2 dyski 4 TB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Typ obudowy urządzenia NAS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(1U)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zainstalowanych procesorów - 1 szt.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Częstotliwość procesora - 1,7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Pojemność zainstalowanej pamięci - 8 GB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Rodzaj zainstalowanej pamięci - DDR3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Maksymalna ilość dysków - 4 szt.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Zamontowane dyski 4TB - 2 szt. </w:t>
            </w:r>
          </w:p>
          <w:p w:rsidR="00A1733C" w:rsidRPr="00A1733C" w:rsidRDefault="00A1733C" w:rsidP="00457412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Szybkość interfejsu dysku - 600 MB/s</w:t>
            </w:r>
          </w:p>
          <w:p w:rsidR="00A1733C" w:rsidRPr="00A1733C" w:rsidRDefault="00A1733C" w:rsidP="00457412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Pojemność pamięci podręcznej - 64 MB</w:t>
            </w:r>
          </w:p>
          <w:p w:rsidR="00A1733C" w:rsidRPr="00A1733C" w:rsidRDefault="00A1733C" w:rsidP="00457412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Odporność na wstrząsy - praca 30G / spoczynek 250G</w:t>
            </w:r>
          </w:p>
          <w:p w:rsidR="00A1733C" w:rsidRPr="00A1733C" w:rsidRDefault="00A1733C" w:rsidP="00457412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Średni czas między uszkodzeniami (MTBF) - 1000000 h</w:t>
            </w:r>
          </w:p>
          <w:p w:rsidR="00A1733C" w:rsidRPr="00A1733C" w:rsidRDefault="00A1733C" w:rsidP="00457412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Stopa błędów przy odczycie - 1:10E14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Zainstalowane sterowniki dysków - 4 x SATA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Poziomy RAID - 0, 1, JBOD, 5, 6, 10, 5 + hot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spare</w:t>
            </w:r>
            <w:proofErr w:type="spellEnd"/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Karta sieciowa 10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Gbit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/s - 2 x 10/100/1000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Mbit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wolnych kieszeni 3,5", 2,5" - 4 szt.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Ilość półek na dyski Hot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Swap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- 2 szt.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proofErr w:type="spellStart"/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Interfejsy</w:t>
            </w:r>
            <w:proofErr w:type="spellEnd"/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: 4 x USB 3.0, 2 x RJ-45, 1 x 10GbE (</w:t>
            </w:r>
            <w:proofErr w:type="spellStart"/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lan</w:t>
            </w:r>
            <w:proofErr w:type="spellEnd"/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)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zasilaczy - 1 szt.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Moc zasilacza (zasilaczy) - 100 Wat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Obsługiwane protokoły i standardy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 xml:space="preserve"> 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CIFS/SMB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AFP 3.3</w:t>
            </w:r>
          </w:p>
          <w:p w:rsidR="00A1733C" w:rsidRPr="00A1733C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FTP/FTPS - protokół transmisji plików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HTTP - Hypertext Transfer Protocol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HTTPS - Hypertext Transfer Protocol Secure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Telnet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•  </w:t>
            </w:r>
            <w:proofErr w:type="spellStart"/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iSCSI</w:t>
            </w:r>
            <w:proofErr w:type="spellEnd"/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- Internet SCSI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SSH - Secure Shall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SNMP - Simple Network Management Protocol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SMTP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TCP/IP - Transmission Control Protocol/Internet Protocol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DHCP Client - Dynamic Host Configuration Protocol Client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DHCP Server - Dynamic Host Configuration Protocol Server</w:t>
            </w:r>
          </w:p>
          <w:p w:rsidR="00A1733C" w:rsidRPr="00EC674D" w:rsidRDefault="00A1733C" w:rsidP="00457412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EC674D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UPnP - Universal plug-and-play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7412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</w:tbl>
    <w:p w:rsidR="00A1733C" w:rsidRDefault="00A1733C">
      <w:pPr>
        <w:rPr>
          <w:b w:val="0"/>
        </w:rPr>
      </w:pPr>
    </w:p>
    <w:p w:rsidR="00A1733C" w:rsidRPr="00A1733C" w:rsidRDefault="00A1733C">
      <w:pPr>
        <w:rPr>
          <w:b w:val="0"/>
        </w:rPr>
      </w:pPr>
    </w:p>
    <w:sectPr w:rsidR="00A1733C" w:rsidRPr="00A1733C" w:rsidSect="00F76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4561A"/>
    <w:multiLevelType w:val="hybridMultilevel"/>
    <w:tmpl w:val="B4FCD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46F5F"/>
    <w:multiLevelType w:val="hybridMultilevel"/>
    <w:tmpl w:val="4B36A370"/>
    <w:lvl w:ilvl="0" w:tplc="40567720">
      <w:start w:val="1"/>
      <w:numFmt w:val="decimal"/>
      <w:lvlText w:val="%1."/>
      <w:lvlJc w:val="left"/>
      <w:pPr>
        <w:ind w:left="735" w:hanging="375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86BD1"/>
    <w:multiLevelType w:val="hybridMultilevel"/>
    <w:tmpl w:val="EDCEA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1A0520"/>
    <w:multiLevelType w:val="hybridMultilevel"/>
    <w:tmpl w:val="76F8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11"/>
  <w:characterSpacingControl w:val="doNotCompress"/>
  <w:compat/>
  <w:rsids>
    <w:rsidRoot w:val="00A1733C"/>
    <w:rsid w:val="000B55BD"/>
    <w:rsid w:val="001C0DEB"/>
    <w:rsid w:val="008836A0"/>
    <w:rsid w:val="00A1733C"/>
    <w:rsid w:val="00A43141"/>
    <w:rsid w:val="00D17B64"/>
    <w:rsid w:val="00DE503F"/>
    <w:rsid w:val="00E305E6"/>
    <w:rsid w:val="00EC674D"/>
    <w:rsid w:val="00F76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33C"/>
    <w:pPr>
      <w:widowControl w:val="0"/>
      <w:suppressAutoHyphens/>
      <w:ind w:left="0"/>
      <w:jc w:val="left"/>
    </w:pPr>
    <w:rPr>
      <w:rFonts w:ascii="Arial" w:eastAsia="Lucida Sans Unicode" w:hAnsi="Arial" w:cs="Times New Roman"/>
      <w:b/>
      <w:kern w:val="1"/>
      <w:sz w:val="21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autoRedefine/>
    <w:qFormat/>
    <w:rsid w:val="00A1733C"/>
    <w:pPr>
      <w:keepNext/>
      <w:tabs>
        <w:tab w:val="left" w:pos="5051"/>
      </w:tabs>
      <w:spacing w:before="60" w:after="60" w:line="240" w:lineRule="exact"/>
      <w:contextualSpacing/>
      <w:outlineLvl w:val="1"/>
    </w:pPr>
    <w:rPr>
      <w:rFonts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1733C"/>
    <w:rPr>
      <w:rFonts w:ascii="Arial" w:eastAsia="Lucida Sans Unicode" w:hAnsi="Arial" w:cs="Arial"/>
      <w:b/>
      <w:kern w:val="1"/>
      <w:sz w:val="21"/>
      <w:szCs w:val="24"/>
      <w:lang w:eastAsia="ar-SA"/>
    </w:rPr>
  </w:style>
  <w:style w:type="paragraph" w:customStyle="1" w:styleId="font6">
    <w:name w:val="font6"/>
    <w:basedOn w:val="Normalny"/>
    <w:rsid w:val="00A1733C"/>
    <w:pPr>
      <w:widowControl/>
      <w:suppressAutoHyphens w:val="0"/>
      <w:spacing w:before="100" w:beforeAutospacing="1" w:after="100" w:afterAutospacing="1" w:line="240" w:lineRule="auto"/>
    </w:pPr>
    <w:rPr>
      <w:rFonts w:eastAsia="Times New Roman"/>
      <w:b w:val="0"/>
      <w:color w:val="000000"/>
      <w:kern w:val="0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1733C"/>
    <w:pPr>
      <w:widowControl/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b w:val="0"/>
      <w:kern w:val="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A1733C"/>
    <w:pPr>
      <w:widowControl/>
      <w:suppressAutoHyphens w:val="0"/>
      <w:ind w:left="720"/>
      <w:contextualSpacing/>
      <w:jc w:val="both"/>
    </w:pPr>
    <w:rPr>
      <w:rFonts w:asciiTheme="minorHAnsi" w:eastAsiaTheme="minorHAnsi" w:hAnsiTheme="minorHAnsi" w:cstheme="minorBidi"/>
      <w:b w:val="0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3790</Words>
  <Characters>22746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Ania Kuczko</cp:lastModifiedBy>
  <cp:revision>5</cp:revision>
  <dcterms:created xsi:type="dcterms:W3CDTF">2018-09-05T12:21:00Z</dcterms:created>
  <dcterms:modified xsi:type="dcterms:W3CDTF">2018-09-21T13:00:00Z</dcterms:modified>
</cp:coreProperties>
</file>