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3C" w:rsidRPr="00D56BAC" w:rsidRDefault="00A1733C" w:rsidP="00A1733C">
      <w:pPr>
        <w:pStyle w:val="Akapitzlist"/>
        <w:numPr>
          <w:ilvl w:val="0"/>
          <w:numId w:val="4"/>
        </w:numPr>
        <w:tabs>
          <w:tab w:val="left" w:pos="1134"/>
        </w:tabs>
        <w:spacing w:line="320" w:lineRule="exact"/>
        <w:rPr>
          <w:sz w:val="20"/>
          <w:szCs w:val="20"/>
        </w:rPr>
      </w:pPr>
      <w:bookmarkStart w:id="0" w:name="_Toc518812267"/>
      <w:bookmarkStart w:id="1" w:name="_Toc518813056"/>
      <w:bookmarkStart w:id="2" w:name="_Toc518813145"/>
      <w:bookmarkStart w:id="3" w:name="_Toc518813230"/>
      <w:bookmarkStart w:id="4" w:name="_Toc518813507"/>
      <w:bookmarkStart w:id="5" w:name="_Toc518813699"/>
      <w:r w:rsidRPr="009E700D">
        <w:rPr>
          <w:rFonts w:ascii="Arial" w:hAnsi="Arial" w:cs="Arial"/>
          <w:b/>
          <w:sz w:val="20"/>
          <w:szCs w:val="20"/>
        </w:rPr>
        <w:t>Zestawienie materiałów</w:t>
      </w:r>
      <w:bookmarkEnd w:id="0"/>
      <w:bookmarkEnd w:id="1"/>
      <w:bookmarkEnd w:id="2"/>
      <w:bookmarkEnd w:id="3"/>
      <w:bookmarkEnd w:id="4"/>
      <w:bookmarkEnd w:id="5"/>
      <w:r w:rsidRPr="009E700D">
        <w:rPr>
          <w:rFonts w:ascii="Arial" w:hAnsi="Arial" w:cs="Arial"/>
          <w:b/>
          <w:sz w:val="20"/>
          <w:szCs w:val="20"/>
        </w:rPr>
        <w:t xml:space="preserve"> do projektu: Modernizacja instalacji okablowania strukturalnego </w:t>
      </w:r>
      <w:r w:rsidR="009E700D" w:rsidRPr="009E700D">
        <w:rPr>
          <w:rFonts w:ascii="Arial" w:hAnsi="Arial" w:cs="Arial"/>
          <w:b/>
          <w:sz w:val="20"/>
          <w:szCs w:val="20"/>
        </w:rPr>
        <w:t>Szkoły Podstawowej im. Żołnierzy Armii Krajowej w Warszkowie</w:t>
      </w:r>
      <w:r w:rsidR="009E700D" w:rsidRPr="009E700D">
        <w:rPr>
          <w:rFonts w:ascii="Arial" w:hAnsi="Arial" w:cs="Arial"/>
          <w:i/>
          <w:sz w:val="20"/>
          <w:szCs w:val="20"/>
        </w:rPr>
        <w:t>.</w:t>
      </w:r>
    </w:p>
    <w:p w:rsidR="00D56BAC" w:rsidRPr="009E700D" w:rsidRDefault="00D56BAC" w:rsidP="00D56BAC">
      <w:pPr>
        <w:pStyle w:val="Akapitzlist"/>
        <w:tabs>
          <w:tab w:val="left" w:pos="1134"/>
        </w:tabs>
        <w:spacing w:line="320" w:lineRule="exact"/>
        <w:ind w:left="735"/>
        <w:rPr>
          <w:sz w:val="20"/>
          <w:szCs w:val="2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426"/>
        <w:gridCol w:w="6806"/>
        <w:gridCol w:w="707"/>
        <w:gridCol w:w="777"/>
      </w:tblGrid>
      <w:tr w:rsidR="009E700D" w:rsidRPr="00CE7871" w:rsidTr="00246352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Nazwa urządzenia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Jedn.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Szafa GPD</w:t>
            </w:r>
          </w:p>
        </w:tc>
      </w:tr>
      <w:tr w:rsidR="009E700D" w:rsidRPr="00CE7871" w:rsidTr="00246352">
        <w:trPr>
          <w:trHeight w:val="12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42U SZAFA Progress o szer. 800 mm - 42U 800x800 (wys. z cokołem 2057 mm) - kolor szary RAL7035, cztery belki w rozstawie 19", drzwi przednie szklane kąt otwarcia 180° z klamką i przyciskiem typu </w:t>
            </w:r>
            <w:proofErr w:type="spellStart"/>
            <w:r w:rsidRPr="00CE7871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push</w:t>
            </w:r>
            <w:proofErr w:type="spellEnd"/>
            <w:r w:rsidRPr="00CE7871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, zdejmowane osłony boczne i tylna, płynna regulacja numerowanych belek 19", przepusty kablowe w płycie górnej i dolnej, dach z perforacją, cokół 100mm, obciążalność 700kg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Panel wentylacyjny 4-wentylatorowy dla szaf stojących z termostatem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Przepust kablowy ze szczotką montowany w górze szafy (wejście kabli w górze szafy)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2 prowadnic pionowych 42U - z pokrywą i systemem zatrzaskowym - Progress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9E700D" w:rsidRPr="00CE7871" w:rsidTr="00246352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poziomujący dla cokołów (zawiera 4 podkładki metalowe, 4 stopki regulowane, 8 nakrętek i wkrętów M8)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Listwy zasilające i uziemiające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19"/1U listwa zasilająca 9-portowa z bolcem z wyłącznikiem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Listwa miedziana - 10 otworów M6, długość 240 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Komplet 10 linek uziemiających ż/z - 4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  <w:r w:rsidRPr="00CE7871">
              <w:rPr>
                <w:rFonts w:ascii="Calibri" w:eastAsia="Times New Roman" w:hAnsi="Calibri" w:cs="Calibri"/>
                <w:b w:val="0"/>
                <w:color w:val="000000"/>
                <w:kern w:val="0"/>
                <w:sz w:val="20"/>
                <w:szCs w:val="20"/>
                <w:lang w:eastAsia="pl-PL"/>
              </w:rPr>
              <w:t>²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długość 250 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Półki 19"</w:t>
            </w:r>
          </w:p>
        </w:tc>
      </w:tr>
      <w:tr w:rsidR="009E700D" w:rsidRPr="00CE7871" w:rsidTr="00246352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Półka stała 1U - gł. 450 mm - mocowanie na 2 belkach 19'' -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max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. nośność 25 kg ( dla kontrolera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UC-CK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montowana na tylnych belkach szafy na wysokości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US-8-150W)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Panele RJ45 i </w:t>
            </w:r>
            <w:proofErr w:type="spellStart"/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organizery</w:t>
            </w:r>
            <w:proofErr w:type="spellEnd"/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Panel UTP kat.6, 24*RJ45, 19''/1U, RAL 7035 szary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Organizer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poziomy kabli 19"/1U, RAL 7035 szary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montażowy 4x (śruba, podkładka, nakrętka)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miedziane</w:t>
            </w:r>
          </w:p>
        </w:tc>
      </w:tr>
      <w:tr w:rsidR="009E700D" w:rsidRPr="00CE7871" w:rsidTr="00246352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kat.6 U/UTP, LSOH, 350MHz, 25 lat gwarancji -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box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305m (szacunkowo przyjęto 50,0 m na każdą linię)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1 950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krosowe miedziane</w:t>
            </w:r>
          </w:p>
        </w:tc>
      </w:tr>
      <w:tr w:rsidR="009E700D" w:rsidRPr="00CE7871" w:rsidTr="00246352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1,0m (połączenia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patchpanel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100% punktów logicznych i połączenie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kontroler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5,0m (do podłączenia Access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Pointów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Patchcordy</w:t>
            </w:r>
            <w:proofErr w:type="spellEnd"/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 światłowodowe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Patchcord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LC-LC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9/125 µm duplex,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0,5m (połączenia między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Punkty logiczne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Adapter 22,5x45 mm do modułów 1xRJ45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(RAL 9010)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Moduł RJ45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kat. 6 UTP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Urządzenia aktywne</w:t>
            </w:r>
          </w:p>
        </w:tc>
      </w:tr>
      <w:tr w:rsidR="009E700D" w:rsidRPr="00CE7871" w:rsidTr="00246352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Ubiquiti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- 8 portów Gigabit Ethernet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+ IEEE 802.3at/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af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24V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Passive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oraz 2 porty SFP (sieć bezprzewodowa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29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Ubiquiti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- 24 porty Gigabit Ethernet oraz 2 porty SFP, 1U (sieć komputerowa)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Single-Mode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Module, 1G SFP+, LC dx (połączenia między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Access Point - technologia 3x3 11AC MIMO, prędkości do 450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Mbps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2,4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GHz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1000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Mbps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5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GHz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zastosowanie wewnątrz i na zewnątrz budynków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Kontroler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UPS</w:t>
            </w:r>
          </w:p>
        </w:tc>
      </w:tr>
      <w:tr w:rsidR="009E700D" w:rsidRPr="00CE7871" w:rsidTr="00246352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UPS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Vision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Dual 1100VA/990W; obudowa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tower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/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rack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;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line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interactive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(VI); układ faz 1:1; czas podtrzymania 5 min przy PF=0,8; 2U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do montażu UPS w szafach RACK o rozstawie głębokości od 600-1000 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Karta komunikacji sieciowej SNMP, wersja wtykowa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47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Trasy kablowe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Kanał PK 90x55 D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końcowa 8401 (PK 90X55D)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łącząca 8402 (PK 90X55D)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kątowa 8403 (PK 90X55D)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odgałęźna 8404 (PK 90X55D)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wewnętrzna 8405 (PK 90X55D)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zewnętrzna 8406 (PK 90X55D)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24635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przepustowa 8407 (PK 90X55D)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</w:tbl>
    <w:p w:rsidR="000B55BD" w:rsidRDefault="000B55BD" w:rsidP="00A1733C"/>
    <w:p w:rsidR="000B55BD" w:rsidRDefault="000B55BD">
      <w:pPr>
        <w:widowControl/>
        <w:suppressAutoHyphens w:val="0"/>
        <w:ind w:left="284"/>
        <w:jc w:val="both"/>
      </w:pPr>
    </w:p>
    <w:p w:rsidR="00A1733C" w:rsidRPr="00F76D24" w:rsidRDefault="00A1733C" w:rsidP="00F76D24">
      <w:pPr>
        <w:pStyle w:val="Akapitzlist"/>
        <w:numPr>
          <w:ilvl w:val="0"/>
          <w:numId w:val="4"/>
        </w:numPr>
        <w:jc w:val="left"/>
      </w:pPr>
      <w:r w:rsidRPr="00F76D24">
        <w:rPr>
          <w:b/>
        </w:rPr>
        <w:t>Zestawienie sprzętu dodatkowego</w:t>
      </w:r>
      <w:r w:rsidR="00F76D24" w:rsidRPr="00F76D24">
        <w:rPr>
          <w:b/>
        </w:rPr>
        <w:t xml:space="preserve"> </w:t>
      </w:r>
      <w:r w:rsidRPr="00F76D24">
        <w:t xml:space="preserve">(o parametrach nie gorszych niż wymienione w tabeli poniżej) </w:t>
      </w:r>
    </w:p>
    <w:p w:rsidR="00D17B64" w:rsidRDefault="00D17B64">
      <w:pPr>
        <w:rPr>
          <w:b w:val="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8292"/>
        <w:gridCol w:w="424"/>
        <w:gridCol w:w="496"/>
      </w:tblGrid>
      <w:tr w:rsidR="00A1733C" w:rsidRPr="00510FAE" w:rsidTr="000B55BD">
        <w:trPr>
          <w:trHeight w:val="300"/>
        </w:trPr>
        <w:tc>
          <w:tcPr>
            <w:tcW w:w="4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UTM + 3 letnia licencja na użytkowanie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1.  Typ urządzenia: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Urządzenie klasy UTM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Unified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Threat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Management)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2.  Wyposażenie: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4 interfejsów LAN typu 1000Base-T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b.  1 </w:t>
            </w:r>
            <w:proofErr w:type="spellStart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interfejs</w:t>
            </w:r>
            <w:proofErr w:type="spellEnd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WAN / Internet </w:t>
            </w:r>
            <w:proofErr w:type="spellStart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typu</w:t>
            </w:r>
            <w:proofErr w:type="spellEnd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1000Base-T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 Interfejs USB do podłączenia modemu 3G/4G/LTE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3.  Parametry wydajnościowe: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Wydajność zapory ogniowej L3: 250 Mb/s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 Wydajność zapory ogniowej z włączonym wszystkimi funkcjami bezpieczeństwa: 200 Mb/s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Wydajność IDS: 200 Mb/s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 Wydajność urządzenia z włączonymi wszystkimi funkcjami bezpieczeństwa (NAT, VPN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Split-tunnel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), filtrowanie treści,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traffic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shaping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anti-virus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anti-phishing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IPS): 200 Mb/s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e.  Minimalna ilość połączeń: 100 000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f.  Minimalna ilość połączeń na sekundę: 5000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g.  Przepustowość dla ruch VPN: 100 Mb/s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h.  Minimalna liczba sesji VPN: 25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4.  Parametry fizyczne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 możliwość montażu w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19’’ lub montażu na ścianie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b.  wysokość nie większa niż 1U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c.  praca w temperaturach 0 – 40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st.C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5.  Funkcje zintegrowanego systemu zarządzania zagrożeniami UTM obejmującego: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Firewalling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 sieciowego w warstwie 3 - filtracja na podstawie: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protokołu sieciowego (TCP/UDP/dowolny);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źródłowe adresy IP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źródłowe porty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docelowe adresy IP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docelowe porty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Firewalling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 aplikacyjnego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typu aplikacji w warstwie 7 – filtracja na podstawie następujących kategorii aplikacji internetowych: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Blogging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Email, File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Sharing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Gaming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News,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Online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backup,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Peer-to-peer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Social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Web, Photo sparing, Software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updates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Anti-virus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updates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Sports, Video, Music, VOIP, Video Conferencing, Web file sharing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blokowania ruchu do zdefiniowanego serwera http przez podanie domeny sieciowej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blokowania ruchu internetowego na podstawie kryterium geograficznego (kraje)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blokowania ruchu poprzez podanie zakresów adresów IP i portów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Ograniczanie ruchu sieciowego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traffic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shaping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Na łączach WAN niezależnie dla każdego łącza poprzez podanie z dokładnością do 1 Mb/s określonych wartości dla kierunku UP (na zewnątrz) oraz DOWN (do wewnątrz) 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Na łączu komórkowym 3G/4G/LTE poprzez podanie z dokładnością do 100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określonych wartości dla kierunku UP (na zewnątrz) oraz DOWN (do wewnątrz) 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Na użytkownika sieci poprzez podanie limitu z dokładnością do 100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 określonych wartości dla kierunku UP (na zewnątrz) oraz DOWN (do wewnątrz)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Dla określonego ruchu aplikacyjnego w warstwie 7 dokładnością do 10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 określonych wartości dla kierunku UP (na zewnątrz) oraz DOWN (do wewnątrz):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Tworzenie do 8 reguł ograniczających ruch sieciowy, z których każda może się składać z dowolnej kombinacji aplikacji sieciowych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Możliwość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priorytetyzacji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 (wysoki priorytet, normalny priorytet, niski priorytet) oraz oznaczania ruchu danym znacznikiem DSCP (od 0 do 7)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Blokowanie stron internetowych URL zgodne z CIPA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Children's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Internet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Protection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Act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) i należących do 70 różnych kategorii w tym: narkotyki, treści dla dorosłych oraz treści pornograficzne, alkohol i tytoń, aukcje,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botnety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potwierdzone i niepotwierdzone źródła spamu, strony o charakterze okultystycznym, portale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randkowe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moda i uroda, hazard, gry, strony wulgarne, strony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hakerskie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rasizm oraz szerzenie nienawiści, strony nielegalne, wyszukiwarki zdjęć oraz filmów,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keyloggery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monitory stacji, źródła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malware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wojskowość i militaria, oprogramowanie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peer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to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peer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strony płatne,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blogi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phishing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serwisy umożliwiające omijanie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proxy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anonimizację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 sieci Internet, wyszukiwarki,  edukacja seksualna, oprogramowanie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shareware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freeware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zakupy,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social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networking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spyware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adware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media strumieniowe, przemoc, broń, ogłoszenia sieciowe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Blokowanie treści dla dorosłych w wynikach działania najpopularniejszych wyszukiwarek internetowych: Google, Yahoo, Bing – funkcja działa dla wyszukiwania niezaszyfrowanego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e.  Blokowanie dostępu do zaszyfrowanego wyszukiwania treści internetowych w serwisie Google.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f.  </w:t>
            </w:r>
            <w:proofErr w:type="spellStart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Funkcja</w:t>
            </w:r>
            <w:proofErr w:type="spellEnd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YouTube for Schools                 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g. 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definiowana własnej listy zabronionych (czarna lista) lub dozwolonych (biała lista) stron URL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h.  Wykrywanie i ochrona przed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malware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i.  Ochrona antywirusowa i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antyphishingowa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j.  Ochrona IPS i IDS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6.  Monitoring i analiza ruchu sieciowego w zakresie: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Wykres ilości ruchu generowanego przez wszystkich użytkowników, jednego użytkownika lub grupę użytkowników w ciągu ostatniego dnia, ostatniego tygodnia i ostatniego miesiąca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 Wykres ilości użytkowników podłączonych do sieci chronionej w ciągu ostatniego dnia,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ostatniego tygodnia i ostatniego miesiąca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 Szczegółowe informacje, jakie aplikacje sieciowe używają użytkownicy w sieci chronionej dla wszystkich użytkowników lub dla wybranego użytkownika z podaniem wolumenu przesłanego ruchu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7.  Funkcje koncentratora VPN dla łączenia ze sobą placówek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site-to-site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vpn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przy użyciu tuneli IPSEC i 128-bitowego szyfrowania AES) oraz dla podłączenia urządzeń klienckich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Client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VPN):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Dla połączeń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site-to-site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obsługa trybu pracy tuneli VPN gdy cały ruch sieciowy jest tunelowany przez VPN lub trybu gdy ruch do publicznego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internetu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jest przesyłany bezpośrednio do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internetu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poza tunelem a ruch prywatny jest tunelowany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obsługa topologii gwiazdy lub pełnej siatki połączeń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Blokowanie ruchu sieciowego na poziomie reguł warstwy 3 wymienianego pomiędzy lokalizacjami połączonymi poprzez VPN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Dla połączeń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Client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VPN: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obsługa protokołu L2TP dla urządzeń klienckich typu: Windows, Mac OS, IOS lub Android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Automatyczna rejestracja do dynamicznego DNS na potrzeby dostępu VPN dla Klientów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Client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VPN) z możliwością zdefiniowana nazwy dla każdego z linków WAN niezależnie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8.  Funkcje routera do sieci Internet w zakresie: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 Fizyczne podłączenie do łącza lub łączy internetowych operatora (1 x WAN w postaci interfejsu Ethernet 1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/s) + interfejs USB do podłączenia modemu 3G/4G/LTE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 NAT / PAT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 Tryb pracy przeźroczystej (Bridge warstwy 2)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 Serwer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e. 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Routing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statyczny IP pomiędzy sieciami VLAN (po stronie LAN) i WAN oraz pomiędzy sieciami VLAN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f.  Wykorzystanie dwóch łączy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uplinkowych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WAN do sieci Internet w zakresie: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Load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balancing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Wskazanie jaki ruch sieciowy (protokół, źródłowy adres IP, źródłowy port, docelowy adres IP, docelowy port) mają zostać skierowane do którego łącza WAN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Wykorzystanie łącza nr 2 w momencie awarii łącza nr 1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9.  Zarządzanie, monitorowanie i utrzymanie urządzenia: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Monitoring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Status urządzenia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Status interfejsów WAN wraz z przypisanymi adresami IP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Dostęp do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event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loga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związanego z danym urządzeniem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Status portów LAN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Bieżący wykres ruchu internetowego (w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 lub Mb/s) odświeżany na bieżąco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Lista stacji sieciowy dzierżawiących adresy IP przez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restartu zdalnego urządzenia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Wysyłania alertów mailowych na wskazane adresy mailowe w przypadku, gdy: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Urządzenie jest niedostępne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offline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Zmiana statusu podstawowego łącza WAN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Wyczerpanie puli adresów IP serwera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Wykrycie w sieci nielegalnego serwera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Konfiguracja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Konfiguracja i uruchomienie sieci VPN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site-to-site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Konfiguracja i zmiana ustawień w zakresie: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Tryb pracy, jako router lub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bridge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warstwy 3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NAT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Routing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statyczny i konfiguracja sieci VLAN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Serwer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Filtry warstwy 3 i filtry aplikacyjne warstwy 7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Filtry treści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Polityki ograniczenia pasma sieciowego do poziomu reguł obejmujących kombinacje aplikacji sieciowych warstwy 7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Konfiguracja grup użytkowników wraz z możliwością zdefiniowania dla grupy użytkowników następujących parametrów: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Godziny i dni tygodnia dostępności lub niedostępności dostępu do sieci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Ograniczenie pasma transmisji 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Określenie reguł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firewallingu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 warstwie 3 i 7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a.iv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Określenie reguł ograniczania ruchu sieciowego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traffic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shaping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Określenie reguł filtracji stron i treści internetowych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Określenie listy dozwolonych i niedozwolonych adresów URL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Uruchomienie lub wyłączenie filtrowania wyników przeszukiwania w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wyszukiwarkach internetowych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a.viii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Włączenie lub wyłączenie funkcji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YouTube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for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Schools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Utrzymanie: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Automatyczna aktualizacja oprogramowania jednego lub wielu urządzeń z możliwością określenia okna czasowego, kiedy taka czynność może zostać wykonana przez system zarządzający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 xml:space="preserve">Informowanie administratora o dostępności nowej wersji oprogramowania dla danego typu urządzenia z możliwością zablokowania automatycznego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upgrade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określenia, kiedy ma być wykonany lub natychmiastowego wykonania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upgrade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10.  Urządzenie obsługuje SNMP v2c oraz SYSLOG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11.  Urządzenie obsługuje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PPPoE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dla łącza WAN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12.  Wymagania dodatkowe: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Urządzenia objęte gwarancją „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lifetime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warranty” oraz serwisem wymiany urządzenia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next-business-day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Zarządzanie i monitorowanie urządzeniem bezpieczeństwa UTM lub grupą takich urządzeń odbywa się poprzez aplikację zarządzającą dostępną w chmurze.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13. Jeśli niezbędne to wymaga się dostarczenia na urządzenie 3 – letniego  wsparcia oraz  3 letniej  licencji na jego wykorzystanie w zakresie opisanych funkcjonalności oraz serwisu wymiany urządzenia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next-business-day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5BD" w:rsidRDefault="00A1733C" w:rsidP="0045741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Router </w:t>
            </w:r>
            <w:proofErr w:type="spellStart"/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19”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- 1.4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rdzeni procesora - 2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pamięci RAM  - 1 GB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Porty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10/100/1000 - 10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Gniazdo zasilania - 1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Tak (pasywne)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out - Tak (port 10)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Monitor temperatury płytki PCB - Tak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Wymiary - 1U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Maksymalny pobór mocy  - 10 W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SFP - 1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Liczba portów USB – 1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szeregowy RJ45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sz w:val="20"/>
                <w:szCs w:val="20"/>
                <w:lang w:eastAsia="pl-PL"/>
              </w:rPr>
              <w:t>Serwer z oprogramowaniem</w:t>
            </w:r>
          </w:p>
          <w:p w:rsidR="00A1733C" w:rsidRPr="00A1733C" w:rsidRDefault="00A1733C" w:rsidP="00457412">
            <w:pPr>
              <w:pStyle w:val="NormalnyWeb"/>
              <w:shd w:val="clear" w:color="auto" w:fill="FFFFFF"/>
              <w:spacing w:after="300" w:line="276" w:lineRule="auto"/>
              <w:rPr>
                <w:rFonts w:ascii="Arial" w:hAnsi="Arial" w:cs="Arial"/>
                <w:i/>
                <w:sz w:val="20"/>
                <w:szCs w:val="28"/>
              </w:rPr>
            </w:pPr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Serwer typu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rack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do pracowni terminalowej o parametrach nie gorszych niż: Procesor: dwa procesory posiadające minimum 8 rdzeni i 16 wątków oraz taktowaniu 2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GHz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, przy czym min. dwa procesory osiągające min 17700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pkt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w teście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PassMarkHigh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End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CPUs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http://cpubenchmark.net/cpu_list.php wraz z dedykowanym chłodzeniem uwzględniającym pełną wydajność procesora.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W przypadku zaoferowania procesora nie uwzględnionego w w/w rankingu Wykonawca przeprowadzi powyżej wskazany test we własnym zakresie i załączy do oferty raport wydajnościowy oferowanego procesora (wszystkie elementy muszą pracować z parametrami określonymi przez producenta danego podzespołu).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lastRenderedPageBreak/>
              <w:t xml:space="preserve">Nie dopuszcza się stosowania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overclocking-u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celem uzyskania wymaganej liczby punktów.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Płyta serwerowa: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rack/tower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, kompatybilna z procesorami, wersja PCI Express 3.0, zintegrowane karty sieci LAN 2x10GbE. Płyta posiada zintegrowany moduł zarządzający. 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Pamięć RAM: 4 x 16GB  RDIMM DDR4 2400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MHz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; 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Dysk twardy: 1 x 400 GB, 2,5  SSD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Dysk twardy: 1TB HDD SATA III - 6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Gb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/s7200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obr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/min 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Karta dźwiękowa wewnętrzna: Interfejs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PCIe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>, Liczba kanałów audio 5.1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Karta graficzna: dedykowana, uzyskująca co najmniej 9 200pkt w teście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Passmark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– G3D Mark według wyników kart graficznych publikowanych na stronie www.videocardbenchmark.net/gpu_list.php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W przypadku zaoferowania karty graficznej nie uwzględnionej w w/w rankingu Wykonawca przeprowadzi powyżej wskazany test we własnym zakresie i załączy do oferty raport wydajnościowy oferowanego procesora (wszystkie elementy muszą pracować z parametrami określonymi przez producenta danego podzespołu).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Napęd DVD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Serwer musi być wyposażony w wszelkie akcesoria potrzebne do prawidłowej konfiguracji oraz montażu w szafie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rack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Serwer będzie miał system tworzenia kopii zapasowej i backupu który przywraca działanie systemu operacyjnego w przypadku jego całkowitego uszkodzenia.</w:t>
            </w:r>
          </w:p>
          <w:p w:rsidR="00A1733C" w:rsidRPr="00A1733C" w:rsidRDefault="00A1733C" w:rsidP="00457412">
            <w:pPr>
              <w:spacing w:line="240" w:lineRule="auto"/>
              <w:rPr>
                <w:rFonts w:cs="Arial"/>
                <w:b w:val="0"/>
                <w:i/>
                <w:sz w:val="20"/>
                <w:szCs w:val="28"/>
              </w:rPr>
            </w:pPr>
            <w:r w:rsidRPr="00A1733C">
              <w:rPr>
                <w:rFonts w:cs="Arial"/>
                <w:b w:val="0"/>
                <w:i/>
                <w:sz w:val="20"/>
                <w:szCs w:val="28"/>
              </w:rPr>
              <w:t>Gwarancja 3 lata od daty dostawy w miejscu instalacji serwera usunięcie awarii w ciągu 5 dni roboczych po odebraniu zgłoszenia, a w przypadku braku możliwości naprawy w w/w terminie podstawienie sprzętu zastępczego o nie gorszych parametrach technicznych. W przypadku awarii dysków twardych w okresie gwarancji, dyski  pozostają u Zamawiającego — wymagane jest dołączenie do oferty oświadczenia podmiotu realizującego serwis tub producenta sprzętu o spełnieniu tego warunku.</w:t>
            </w:r>
          </w:p>
          <w:p w:rsidR="00A1733C" w:rsidRPr="00A1733C" w:rsidRDefault="00A1733C" w:rsidP="00457412">
            <w:pPr>
              <w:spacing w:line="240" w:lineRule="auto"/>
              <w:rPr>
                <w:rFonts w:cs="Arial"/>
                <w:b w:val="0"/>
                <w:i/>
                <w:sz w:val="20"/>
                <w:szCs w:val="28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oprogramowanie serwerowe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Serwer będzie posiadał zainstalowane i skonfigurowane oprogramowanie serwerowe (licencja na min 16 rdzeni procesora) o parametrach nie gorszych niż 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Licencje na serwerowy system operacyjny muszą być przypisane do każdego rdzenia procesora fizycznego na serwerze. Licencja musi uprawniać do uruchamiania serwerowego systemu operacyjnego w środowisku fizycznym i dwóch wirtualnych środowisk serwerowego systemu operacyjnego niezależnie od liczby rdzeni w serwerze fizycznym.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Serwerowy system operacyjny musi posiadać następujące, wbudowane cechy.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1. Możliwość wykorzystania 320 logicznych procesorów oraz co najmniej 4 TB pamięci RAM w środowisku fizycznym.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2. Możliwość wykorzystywania 64 procesorów wirtualnych oraz 1TB pamięci RAM i dysku o pojemności do 64TB przez każdy wirtualny serwerowy system operacyjny.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3. Możliwość budowania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klastrów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składających się z 64 węzłów, z możliwością uruchamiania 7000 maszyn wirtualnych.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4. Możliwość migracji maszyn wirtualnych bez zatrzymywania ich pracy między fizycznymi serwerami z uruchomionym mechanizmem wirtualizacji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hypervisor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 przez sieć Ethernet, bez konieczności stosowania dodatkowych mechanizmów współdzielenia pamięci.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5. Wsparcie (na umożliwiającym to sprzęcie) dodawania i wymiany pamięci RAM bez przerywania pracy.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6. Wsparcie (na umożliwiającym to sprzęcie) dodawania i wymiany procesorów bez przerywania pracy.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7. Automatyczna weryfikacja cyfrowych sygnatur sterowników w celu sprawdzenia, czy sterownik przeszedł testy jakości przeprowadzone przez producenta systemu operacyjnego.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8. Możliwość dynamicznego obniżania poboru energii przez rdzenie procesorów niewykorzystywane w bieżącej pracy. Mechanizm ten musi uwzględniać specyfikę procesorów wyposażonych w mechanizmy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Hyper-Threading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9. Wbudowane wsparcie instalacji i pracy na wolumenach, które: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pozwalają na zmianę rozmiaru w czasie pracy systemu,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umożliwiają tworzenie w czasie pracy systemu migawek, dających użytkownikom końcowym (lokalnym i sieciowym) prosty wgląd w poprzednie wersje plików i folderów,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>c)umożliwiają kompresję "w locie" dla wybranych plików i/lub folderów,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d) umożliwiają zdefiniowanie list kontroli dostępu (ACL).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10. Wbudowany mechanizm klasyfikowania i indeksowania plików (dokumentów) w oparciu o ich zawartość.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11. Wbudowane szyfrowanie dysków przy pomocy mechanizmów posiadających certyfikat FIPS 140-2 lub równoważny wydany przez NIST lub inną agendę rządową zajmującą się bezpieczeństwem informacji.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12. Możliwość uruchamianie aplikacji internetowych wykorzystujących technologię ASP.NET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13. Możliwość dystrybucji ruchu sieciowego HTTP pomiędzy kilka serwerów.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14. Wbudowana zapora internetowa (firewall) z obsługą definiowanych reguł dla ochrony połączeń internetowych i intranetowych.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15. Dostępne dwa rodzaje graficznego interfejsu użytkownika: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Klasyczny, umożliwiający obsługę przy pomocy klawiatury i myszy,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Dotykowy umożliwiający sterowanie dotykiem na monitorach dotykowych.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16. Zlokalizowane w języku polskim, co najmniej następujące elementy: menu, przeglądarka internetowa, pomoc, komunikaty systemowe.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17. Możliwość zmiany języka interfejsu po zainstalowaniu systemu, dla co najmniej 10 języków poprzez wybór z listy dostępnych lokalizacji.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18. Mechanizmy logowania w oparciu o: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Login i hasło,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Karty z certyfikatami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smartcard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c) Wirtualne karty (logowanie w oparciu o certyfikat chroniony poprzez moduł TPM),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19. Możliwość wymuszania wieloelementowej dynamicznej kontroli dostępu dla: określonych grup użytkowników, zastosowanej klasyfikacji danych, centralnych polityk dostępu w sieci, centralnych polityk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audytowych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oraz narzuconych dla grup użytkowników praw do wykorzystywania szyfrowanych danych..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20. Wsparcie dla większości powszechnie używanych urządzeń peryferyjnych (drukarek, urządzeń sieciowych, standardów USB,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Plug&amp;Play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21. Możliwość zdalnej konfiguracji, administrowania oraz aktualizowania systemu.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22. Dostępność bezpłatnych narzędzi producenta systemu umożliwiających badanie i wdrażanie zdefiniowanego zestawu polityk bezpieczeństwa.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23. Pochodzący od producenta systemu serwis zarządzania polityką dostępu do informacji w dokumentach (Digital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Rights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Management).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24. Wsparcie dla środowisk Java i .NET Framework 4.x – możliwość uruchomienia aplikacji działających we wskazanych środowiskach.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25. Możliwość implementacji następujących funkcjonalności bez potrzeby instalowania dodatkowych produktów (oprogramowania) innych producentów wymagających dodatkowych licencji: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Podstawowe usługi sieciowe: DHCP oraz DNS wspierający DNSSEC,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Usługi katalogowe oparte o LDAP i pozwalające na uwierzytelnianie użytkowników stacji roboczych, bez konieczności instalowania dodatkowego oprogramowania na tych stacjach, pozwalające na zarządzanie zasobami w sieci (użytkownicy, komputery, drukarki, udziały sieciowe), z możliwością wykorzystania następujących funkcji: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Podłączenie do domeny w trybie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offline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– bez dostępnego połączenia sieciowego z domeną,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Ustanawianie praw dostępu do zasobów domeny na bazie sposobu logowania użytkownika – na przykład typu certyfikatu użytego do logowania,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Odzyskiwanie przypadkowo skasowanych obiektów usługi katalogowej z mechanizmu kosza.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Bezpieczny mechanizm dołączania do domeny uprawnionych użytkowników prywatnych urządzeń mobilnych opartych o systemy operacyjne.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c) Zdalna dystrybucja oprogramowania na stacje robocze.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d) Praca zdalna na serwerze z wykorzystaniem terminala (cienkiego klienta) lub odpowiednio skonfigurowanej stacji roboczej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e) Centrum Certyfikatów (CA), obsługa klucza publicznego i prywatnego) umożliwiające: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Dystrybucję certyfikatów poprzez http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Konsolidację CA dla wielu lasów domeny,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Automatyczne rejestrowania certyfikatów pomiędzy różnymi lasami domen,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Automatyczne występowanie i używanie (wystawianie) certyfikatów PKI X.509.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f) Szyfrowanie plików i folderów.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>g) Szyfrowanie połączeń sieciowych pomiędzy serwerami oraz serwerami i stacjami roboczymi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IPSec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h) Możliwość tworzenia systemów wysokiej dostępności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klastry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fail-over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 oraz rozłożenia obciążenia serwerów.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i) Serwis udostępniania stron WWW.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j) Wsparcie dla protokołu IP w wersji 6 (IPv6),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k) Wsparcie dla algorytmów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Suite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B (RFC 4869),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l) Wbudowane usługi VPN pozwalające na zestawienie nielimitowanej liczby równoczesnych połączeń i niewymagające instalacji dodatkowego oprogramowania na komputerach z systemem operacyjnym,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ł) Wbudowane mechanizmy wirtualizacji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Hypervisor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) pozwalające na uruchamianie do 1000 aktywnych środowisk wirtualnych systemów operacyjnych. Wirtualne maszyny w trakcie pracy i bez zauważalnego zmniejszenia ich dostępności mogą być przenoszone pomiędzy serwerami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klastra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failover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z jednoczesnym zachowaniem pozostałej funkcjonalności. Mechanizmy wirtualizacji mają zapewnić wsparcie dla: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Dynamicznego podłączania zasobów dyskowych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hot-plug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do maszyn wirtualnych,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Obsługi ramek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jumbo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frames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dla maszyn wirtualnych.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Obsługi 4-KB sektorów dysków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Nielimitowanej liczby jednocześnie przenoszonych maszyn wirtualnych pomiędzy węzłami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klastra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Możliwości wirtualizacji sieci z zastosowaniem przełącznika, którego funkcjonalność może być rozszerzana jednocześnie poprzez oprogramowanie kilku innych dostawców poprzez otwarty interfejs API.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Możliwości kierowania ruchu sieciowego z wielu sieci VLAN bezpośrednio do pojedynczej karty sieciowej maszyny wirtualnej (tzw.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trunk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mode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26. Możliwość automatycznej aktualizacji w oparciu o poprawki publikowane przez producenta wraz z dostępnością bezpłatnego rozwiązania producenta serwerowego systemu operacyjnego umożliwiającego lokalną dystrybucję poprawek zatwierdzonych przez administratora, bez połączenia z siecią Internet.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27. Wsparcie dostępu do zasobu dyskowego poprzez wiele ścieżek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Multipath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28. Możliwość instalacji poprawek poprzez wgranie ich do obrazu instalacyjnego.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29. Mechanizmy zdalnej administracji oraz mechanizmy (również działające zdalnie) administracji przez skrypty.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30. Możliwość zarządzania przez wbudowane mechanizmy zgodne ze standardami WBEM oraz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WS-Management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organizacji DMTF.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31. Zorganizowany system szkoleń i materiały edukacyjne w języku polskim.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Serwer będzie posiadał zainstalowane i skonfigurowane oprogramowanie do filtrowania treści o parametrach nie gorszych niż 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Oprogramowanie musi mieć polską wersję językową.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Oprogramowanie musi spełniać wymagania Ustawy - Prawo oświatowe w zakresie wymogu instalacji i aktualizacji w szkole oprogramowania do zabezpieczeń.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Serwer plików NAS + 2 dyski 4 TB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Typ obudowy urządzenia NAS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(1U)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zainstalowanych procesorów - 1 szt.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- 1,7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Pojemność zainstalowanej pamięci - 8 GB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Rodzaj zainstalowanej pamięci - DDR3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Maksymalna ilość dysków - 4 szt.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Zamontowane dyski 4TB - 2 szt. 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Szybkość interfejsu dysku - 600 MB/s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Pojemność pamięci podręcznej - 64 MB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Odporność na wstrząsy - praca 30G / spoczynek 250G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Średni czas między uszkodzeniami (MTBF) - 1000000 h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Stopa błędów przy odczycie - 1:10E14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Zainstalowane sterowniki dysków - 4 x SATA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Poziomy RAID - 0, 1, JBOD, 5, 6, 10, 5 + hot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spare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Karta sieciowa 10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Gbit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- 2 x 10/100/1000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Mbit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wolnych kieszeni 3,5", 2,5" - 4 szt.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Ilość półek na dyski Hot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Swap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- 2 szt.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proofErr w:type="spellStart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lastRenderedPageBreak/>
              <w:t>Interfejsy</w:t>
            </w:r>
            <w:proofErr w:type="spellEnd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: 4 x USB 3.0, 2 x RJ-45, 1 x 10GbE (</w:t>
            </w:r>
            <w:proofErr w:type="spellStart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lan</w:t>
            </w:r>
            <w:proofErr w:type="spellEnd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zasilaczy - 1 szt.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Moc zasilacza (zasilaczy) - 100 Wat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Obsługiwane protokoły i standardy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 xml:space="preserve">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CIFS/SMB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AFP 3.3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FTP/FTPS - protokół transmisji plików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 - Hypertext Transfer Protocol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HTTPS - Hypertext Transfer Protocol Secure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Telnet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•  </w:t>
            </w:r>
            <w:proofErr w:type="spellStart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iSCSI</w:t>
            </w:r>
            <w:proofErr w:type="spellEnd"/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- Internet SCSI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SSH - Secure Shall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SNMP - Simple Network Management Protocol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SMTP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TCP/IP - Transmission Control Protocol/Internet Protocol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Client - Dynamic Host Configuration Protocol Client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Server - Dynamic Host Configuration Protocol Server</w:t>
            </w:r>
          </w:p>
          <w:p w:rsidR="00A1733C" w:rsidRPr="00246352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246352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UPnP - Universal plug-and-play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</w:tbl>
    <w:p w:rsidR="00A1733C" w:rsidRDefault="00A1733C">
      <w:pPr>
        <w:rPr>
          <w:b w:val="0"/>
        </w:rPr>
      </w:pPr>
    </w:p>
    <w:p w:rsidR="00A1733C" w:rsidRPr="00A1733C" w:rsidRDefault="00A1733C">
      <w:pPr>
        <w:rPr>
          <w:b w:val="0"/>
        </w:rPr>
      </w:pPr>
    </w:p>
    <w:sectPr w:rsidR="00A1733C" w:rsidRPr="00A1733C" w:rsidSect="00F76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561A"/>
    <w:multiLevelType w:val="hybridMultilevel"/>
    <w:tmpl w:val="B4F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46F5F"/>
    <w:multiLevelType w:val="hybridMultilevel"/>
    <w:tmpl w:val="4B36A370"/>
    <w:lvl w:ilvl="0" w:tplc="40567720">
      <w:start w:val="1"/>
      <w:numFmt w:val="decimal"/>
      <w:lvlText w:val="%1."/>
      <w:lvlJc w:val="left"/>
      <w:pPr>
        <w:ind w:left="735" w:hanging="375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86BD1"/>
    <w:multiLevelType w:val="hybridMultilevel"/>
    <w:tmpl w:val="EDCEA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1A0520"/>
    <w:multiLevelType w:val="hybridMultilevel"/>
    <w:tmpl w:val="76F8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11"/>
  <w:characterSpacingControl w:val="doNotCompress"/>
  <w:compat/>
  <w:rsids>
    <w:rsidRoot w:val="00A1733C"/>
    <w:rsid w:val="000B55BD"/>
    <w:rsid w:val="00246352"/>
    <w:rsid w:val="002A4AAE"/>
    <w:rsid w:val="009E700D"/>
    <w:rsid w:val="00A1733C"/>
    <w:rsid w:val="00A43141"/>
    <w:rsid w:val="00D17B64"/>
    <w:rsid w:val="00D56BAC"/>
    <w:rsid w:val="00DE503F"/>
    <w:rsid w:val="00ED5C86"/>
    <w:rsid w:val="00F76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33C"/>
    <w:pPr>
      <w:widowControl w:val="0"/>
      <w:suppressAutoHyphens/>
      <w:ind w:left="0"/>
      <w:jc w:val="left"/>
    </w:pPr>
    <w:rPr>
      <w:rFonts w:ascii="Arial" w:eastAsia="Lucida Sans Unicode" w:hAnsi="Arial" w:cs="Times New Roman"/>
      <w:b/>
      <w:kern w:val="1"/>
      <w:sz w:val="21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autoRedefine/>
    <w:qFormat/>
    <w:rsid w:val="00A1733C"/>
    <w:pPr>
      <w:keepNext/>
      <w:tabs>
        <w:tab w:val="left" w:pos="5051"/>
      </w:tabs>
      <w:spacing w:before="60" w:after="60" w:line="240" w:lineRule="exact"/>
      <w:contextualSpacing/>
      <w:outlineLvl w:val="1"/>
    </w:pPr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1733C"/>
    <w:rPr>
      <w:rFonts w:ascii="Arial" w:eastAsia="Lucida Sans Unicode" w:hAnsi="Arial" w:cs="Arial"/>
      <w:b/>
      <w:kern w:val="1"/>
      <w:sz w:val="21"/>
      <w:szCs w:val="24"/>
      <w:lang w:eastAsia="ar-SA"/>
    </w:rPr>
  </w:style>
  <w:style w:type="paragraph" w:customStyle="1" w:styleId="font6">
    <w:name w:val="font6"/>
    <w:basedOn w:val="Normalny"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b w:val="0"/>
      <w:color w:val="000000"/>
      <w:kern w:val="0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kern w:val="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A1733C"/>
    <w:pPr>
      <w:widowControl/>
      <w:suppressAutoHyphens w:val="0"/>
      <w:ind w:left="720"/>
      <w:contextualSpacing/>
      <w:jc w:val="both"/>
    </w:pPr>
    <w:rPr>
      <w:rFonts w:asciiTheme="minorHAnsi" w:eastAsiaTheme="minorHAnsi" w:hAnsiTheme="minorHAnsi" w:cstheme="minorBidi"/>
      <w:b w:val="0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3591</Words>
  <Characters>21550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Ania Kuczko</cp:lastModifiedBy>
  <cp:revision>4</cp:revision>
  <dcterms:created xsi:type="dcterms:W3CDTF">2018-09-05T12:24:00Z</dcterms:created>
  <dcterms:modified xsi:type="dcterms:W3CDTF">2018-09-21T12:59:00Z</dcterms:modified>
</cp:coreProperties>
</file>