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2A6" w:rsidRPr="009B12A6" w:rsidRDefault="009B12A6" w:rsidP="009B12A6">
      <w:pPr>
        <w:spacing w:line="320" w:lineRule="exact"/>
        <w:jc w:val="center"/>
        <w:rPr>
          <w:rFonts w:cs="Arial"/>
          <w:sz w:val="20"/>
          <w:szCs w:val="20"/>
        </w:rPr>
      </w:pPr>
      <w:bookmarkStart w:id="0" w:name="_Toc518812267"/>
      <w:bookmarkStart w:id="1" w:name="_Toc518813056"/>
      <w:bookmarkStart w:id="2" w:name="_Toc518813145"/>
      <w:bookmarkStart w:id="3" w:name="_Toc518813230"/>
      <w:bookmarkStart w:id="4" w:name="_Toc518813507"/>
      <w:bookmarkStart w:id="5" w:name="_Toc518813699"/>
      <w:r w:rsidRPr="009B12A6">
        <w:rPr>
          <w:rFonts w:cs="Arial"/>
          <w:sz w:val="20"/>
          <w:szCs w:val="20"/>
        </w:rPr>
        <w:t xml:space="preserve">ZESTAWIENIE MATERIAŁÓW DO PROJEKTU </w:t>
      </w:r>
    </w:p>
    <w:p w:rsidR="00A1733C" w:rsidRPr="00F76D24" w:rsidRDefault="00A1733C" w:rsidP="00F76D24">
      <w:pPr>
        <w:pStyle w:val="Akapitzlist"/>
        <w:numPr>
          <w:ilvl w:val="0"/>
          <w:numId w:val="4"/>
        </w:numPr>
        <w:tabs>
          <w:tab w:val="left" w:pos="1134"/>
        </w:tabs>
        <w:spacing w:line="320" w:lineRule="exact"/>
        <w:rPr>
          <w:rFonts w:cs="Arial"/>
          <w:b/>
          <w:i/>
          <w:sz w:val="20"/>
          <w:szCs w:val="20"/>
        </w:rPr>
      </w:pPr>
      <w:r w:rsidRPr="00F76D24">
        <w:rPr>
          <w:rFonts w:cs="Arial"/>
          <w:b/>
          <w:sz w:val="20"/>
          <w:szCs w:val="20"/>
        </w:rPr>
        <w:t>Zestawienie materiałów</w:t>
      </w:r>
      <w:bookmarkEnd w:id="0"/>
      <w:bookmarkEnd w:id="1"/>
      <w:bookmarkEnd w:id="2"/>
      <w:bookmarkEnd w:id="3"/>
      <w:bookmarkEnd w:id="4"/>
      <w:bookmarkEnd w:id="5"/>
      <w:r w:rsidRPr="00F76D24">
        <w:rPr>
          <w:rFonts w:cs="Arial"/>
          <w:b/>
          <w:sz w:val="20"/>
          <w:szCs w:val="20"/>
        </w:rPr>
        <w:t xml:space="preserve"> do projektu: Modernizacja instalacji okablowania strukturalnego Szkoły Podstawowej im. Jana Kochanowskiego w Sławsku</w:t>
      </w:r>
      <w:r w:rsidRPr="00F76D24">
        <w:rPr>
          <w:rFonts w:cs="Arial"/>
          <w:b/>
          <w:i/>
          <w:sz w:val="20"/>
          <w:szCs w:val="20"/>
        </w:rPr>
        <w:t>.</w:t>
      </w:r>
    </w:p>
    <w:p w:rsidR="00A1733C" w:rsidRDefault="00A1733C" w:rsidP="00A1733C">
      <w:pPr>
        <w:pStyle w:val="Nagwek2"/>
      </w:pPr>
    </w:p>
    <w:tbl>
      <w:tblPr>
        <w:tblW w:w="4464" w:type="pct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97"/>
        <w:gridCol w:w="423"/>
        <w:gridCol w:w="5813"/>
        <w:gridCol w:w="707"/>
        <w:gridCol w:w="752"/>
        <w:gridCol w:w="25"/>
        <w:gridCol w:w="7"/>
      </w:tblGrid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Nazwa urządzenia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4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Jedn.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Szafa GPD</w:t>
            </w:r>
          </w:p>
        </w:tc>
      </w:tr>
      <w:tr w:rsidR="00A1733C" w:rsidRPr="00916517" w:rsidTr="00124C3A">
        <w:trPr>
          <w:gridAfter w:val="1"/>
          <w:wAfter w:w="4" w:type="pct"/>
          <w:trHeight w:val="12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 xml:space="preserve">42U SZAFA Progress o szer. 800 mm - 42U 800x800 (wys. z cokołem 2057 mm) - kolor szary RAL7035, cztery belki w rozstawie 19", drzwi przednie szklane kąt otwarcia 180° z klamką i przyciskiem typu </w:t>
            </w:r>
            <w:proofErr w:type="spellStart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push</w:t>
            </w:r>
            <w:proofErr w:type="spellEnd"/>
            <w:r w:rsidRPr="00916517">
              <w:rPr>
                <w:rFonts w:eastAsia="Times New Roman" w:cs="Arial"/>
                <w:b w:val="0"/>
                <w:kern w:val="0"/>
                <w:sz w:val="20"/>
                <w:szCs w:val="20"/>
                <w:lang w:eastAsia="pl-PL"/>
              </w:rPr>
              <w:t>, zdejmowane osłony boczne i tylna, płynna regulacja numerowanych belek 19", przepusty kablowe w płycie górnej i dolnej, dach z perforacją, cokół 100mm, obciążalność 700kg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Panel wentylacyjny 4-wentylatorowy dla szaf stojących z termostatem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Przepust kablowy ze szczotką montowany w górze szafy (wejście kabli w górze szafy)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2 prowadnic pionowych 42U - z pokrywą i systemem zatrzaskowym - Progress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poziomujący dla cokołów (zawiera 4 podkładki metalowe, 4 stopki regulowane, 8 nakrętek i wkrętów M8)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Listwy zasilające i uziemiające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19"/1U listwa zasilająca 9-portowa z bolcem z wyłącznikiem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Listwa miedziana - 10 otworów M6, długość 240 mm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Komplet 10 linek uziemiających ż/z - 4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mm</w:t>
            </w:r>
            <w:r w:rsidRPr="00916517">
              <w:rPr>
                <w:rFonts w:ascii="Calibri" w:eastAsia="Times New Roman" w:hAnsi="Calibri" w:cs="Calibri"/>
                <w:b w:val="0"/>
                <w:color w:val="000000"/>
                <w:kern w:val="0"/>
                <w:sz w:val="20"/>
                <w:szCs w:val="20"/>
                <w:lang w:eastAsia="pl-PL"/>
              </w:rPr>
              <w:t>²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długość 250 mm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2"/>
          <w:wAfter w:w="19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2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Półki 19"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Półka stała 1U - gł. 450 mm - mocowanie na 2 belkach 19'' -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max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. nośność 25 kg ( dla kontrolera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UC-CK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montowana na tylnych belkach szafy na wysokości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US-16-150W)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Panele RJ45 i </w:t>
            </w:r>
            <w:proofErr w:type="spellStart"/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organizery</w:t>
            </w:r>
            <w:proofErr w:type="spellEnd"/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Panel UTP kat.6, 24*RJ45, 19''/1U, RAL 7035 szary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Organizer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poziomy kabli 19"/1U, RAL 7035 szary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Zestaw montażowy 4x (śruba, podkładka, nakrętka)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kpl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miedziane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kat.6 U/UTP, LSOH, 350MHz, 25 lat gwarancji -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box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305m (szacunkowo przyjęto 50,0 m na każdą linię)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3 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Kable krosowe miedziane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1,0m (połączenia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patchpanel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dla 100% punktów logicznych i połączenie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kontroler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Kabel krosowy RJ45-RJ45, kat.6 klasa E U/UTP, szary 5,0m (do podłączenia Access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Pointów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Patchcordy</w:t>
            </w:r>
            <w:proofErr w:type="spellEnd"/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 xml:space="preserve"> światłowodowe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Patchcord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LC-LC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9/125 µm duplex,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jednomodowy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, 0,5m (połączenia między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switchami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Punkty logiczne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Adapter 22,5x45 mm do modułów 1xRJ45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(RAL 9010)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Moduł RJ45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keystone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, kat. 6 UTP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7</w:t>
            </w:r>
            <w:r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Urządzenia aktywne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lastRenderedPageBreak/>
              <w:t>28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Ubiquiti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- 16 portów Gigabit Ethernet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+ IEEE 802.3at/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af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i 24V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Passive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oraz 2 porty SFP (sieć bezprzewodowa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Zarządzalny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przełącznik sieciowy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Ubiquiti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- 24 porty Gigabit Ethernet oraz 2 porty SFP, 1U (sieć komputerowa)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663A7E" w:rsidRDefault="00A1733C" w:rsidP="00451464">
            <w:pPr>
              <w:spacing w:line="240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1733C" w:rsidRPr="00663A7E" w:rsidRDefault="00A1733C" w:rsidP="00451464">
            <w:pPr>
              <w:spacing w:line="240" w:lineRule="auto"/>
              <w:rPr>
                <w:b w:val="0"/>
                <w:sz w:val="20"/>
                <w:szCs w:val="20"/>
              </w:rPr>
            </w:pPr>
            <w:r w:rsidRPr="00C9074D">
              <w:rPr>
                <w:b w:val="0"/>
                <w:sz w:val="20"/>
                <w:szCs w:val="20"/>
              </w:rPr>
              <w:t xml:space="preserve">FIBERTECHNIC MODUŁ SFP 1000Base-LX SM 1310nm 10KM LC DUPLEX DDM (połączenia między </w:t>
            </w:r>
            <w:proofErr w:type="spellStart"/>
            <w:r w:rsidRPr="00C9074D">
              <w:rPr>
                <w:b w:val="0"/>
                <w:sz w:val="20"/>
                <w:szCs w:val="20"/>
              </w:rPr>
              <w:t>switchami</w:t>
            </w:r>
            <w:proofErr w:type="spellEnd"/>
            <w:r w:rsidRPr="00C9074D">
              <w:rPr>
                <w:b w:val="0"/>
                <w:sz w:val="20"/>
                <w:szCs w:val="20"/>
              </w:rPr>
              <w:t>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733C" w:rsidRPr="00663A7E" w:rsidRDefault="00A1733C" w:rsidP="00451464">
            <w:pPr>
              <w:pStyle w:val="font6"/>
              <w:spacing w:before="0" w:beforeAutospacing="0" w:after="0" w:afterAutospacing="0"/>
              <w:rPr>
                <w:rFonts w:cs="Arial"/>
              </w:rPr>
            </w:pPr>
            <w:r w:rsidRPr="00663A7E">
              <w:rPr>
                <w:rFonts w:cs="Arial"/>
              </w:rPr>
              <w:t xml:space="preserve">Access Point - technologia 3x3 11AC MIMO, prędkości do 450 </w:t>
            </w:r>
            <w:proofErr w:type="spellStart"/>
            <w:r w:rsidRPr="00663A7E">
              <w:rPr>
                <w:rFonts w:cs="Arial"/>
              </w:rPr>
              <w:t>Mbps</w:t>
            </w:r>
            <w:proofErr w:type="spellEnd"/>
            <w:r w:rsidRPr="00663A7E">
              <w:rPr>
                <w:rFonts w:cs="Arial"/>
              </w:rPr>
              <w:t xml:space="preserve"> dla 2,4 </w:t>
            </w:r>
            <w:proofErr w:type="spellStart"/>
            <w:r w:rsidRPr="00663A7E">
              <w:rPr>
                <w:rFonts w:cs="Arial"/>
              </w:rPr>
              <w:t>GHz</w:t>
            </w:r>
            <w:proofErr w:type="spellEnd"/>
            <w:r w:rsidRPr="00663A7E">
              <w:rPr>
                <w:rFonts w:cs="Arial"/>
              </w:rPr>
              <w:t xml:space="preserve"> i 1000 </w:t>
            </w:r>
            <w:proofErr w:type="spellStart"/>
            <w:r w:rsidRPr="00663A7E">
              <w:rPr>
                <w:rFonts w:cs="Arial"/>
              </w:rPr>
              <w:t>Mbps</w:t>
            </w:r>
            <w:proofErr w:type="spellEnd"/>
            <w:r w:rsidRPr="00663A7E">
              <w:rPr>
                <w:rFonts w:cs="Arial"/>
              </w:rPr>
              <w:t xml:space="preserve"> dla 5 </w:t>
            </w:r>
            <w:proofErr w:type="spellStart"/>
            <w:r w:rsidRPr="00663A7E">
              <w:rPr>
                <w:rFonts w:cs="Arial"/>
              </w:rPr>
              <w:t>GHz</w:t>
            </w:r>
            <w:proofErr w:type="spellEnd"/>
            <w:r w:rsidRPr="00663A7E">
              <w:rPr>
                <w:rFonts w:cs="Arial"/>
              </w:rPr>
              <w:t>, zastosowanie wewnątrz i na zewnątrz budynków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Kontroler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WiFi</w:t>
            </w:r>
            <w:proofErr w:type="spellEnd"/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733C" w:rsidRPr="00916517" w:rsidRDefault="00A1733C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UPS</w:t>
            </w:r>
          </w:p>
        </w:tc>
      </w:tr>
      <w:tr w:rsidR="00451464" w:rsidRPr="00916517" w:rsidTr="00124C3A">
        <w:trPr>
          <w:gridAfter w:val="1"/>
          <w:wAfter w:w="4" w:type="pct"/>
          <w:trHeight w:val="6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UPS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Vision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Dual 1100VA/990W; obudowa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tower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/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rack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;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line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interactive</w:t>
            </w:r>
            <w:proofErr w:type="spellEnd"/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 xml:space="preserve"> (VI); układ faz 1:1; czas podtrzymania 5 min przy PF=0,8; 2U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Uchwyt do montażu UPS w szafach RACK o rozstawie głębokości od 600-1000 mm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Karta komunikacji sieciowej SNMP, wersja wtykowa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444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7E6E6"/>
            <w:vAlign w:val="center"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Cs/>
                <w:color w:val="000000"/>
                <w:kern w:val="0"/>
                <w:sz w:val="20"/>
                <w:szCs w:val="20"/>
                <w:lang w:eastAsia="pl-PL"/>
              </w:rPr>
              <w:t>Trasy kablowe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Kanał PK 90x55 D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298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m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końcowa 8401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łącząca 8402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150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kątowa 8403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odgałęźna 8404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wewnętrzna 8405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narożna zewnętrzna 8406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  <w:tr w:rsidR="00451464" w:rsidRPr="00916517" w:rsidTr="00124C3A">
        <w:trPr>
          <w:gridAfter w:val="1"/>
          <w:wAfter w:w="4" w:type="pct"/>
          <w:trHeight w:val="300"/>
          <w:jc w:val="center"/>
        </w:trPr>
        <w:tc>
          <w:tcPr>
            <w:tcW w:w="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35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Pokrywa przepustowa 8407 (PK 90X55D)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right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1464" w:rsidRPr="00916517" w:rsidRDefault="00451464" w:rsidP="00451464">
            <w:pPr>
              <w:widowControl/>
              <w:suppressAutoHyphens w:val="0"/>
              <w:spacing w:line="240" w:lineRule="auto"/>
              <w:jc w:val="center"/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</w:pPr>
            <w:r w:rsidRPr="00916517">
              <w:rPr>
                <w:rFonts w:eastAsia="Times New Roman" w:cs="Arial"/>
                <w:b w:val="0"/>
                <w:color w:val="000000"/>
                <w:kern w:val="0"/>
                <w:sz w:val="20"/>
                <w:szCs w:val="20"/>
                <w:lang w:eastAsia="pl-PL"/>
              </w:rPr>
              <w:t>szt.</w:t>
            </w:r>
          </w:p>
        </w:tc>
      </w:tr>
    </w:tbl>
    <w:p w:rsidR="000B55BD" w:rsidRDefault="000B55BD" w:rsidP="00A1733C"/>
    <w:p w:rsidR="00451464" w:rsidRDefault="00451464">
      <w:pPr>
        <w:widowControl/>
        <w:suppressAutoHyphens w:val="0"/>
        <w:ind w:left="284"/>
        <w:jc w:val="both"/>
      </w:pPr>
    </w:p>
    <w:p w:rsidR="00451464" w:rsidRDefault="00451464">
      <w:pPr>
        <w:widowControl/>
        <w:suppressAutoHyphens w:val="0"/>
        <w:ind w:left="284"/>
        <w:jc w:val="both"/>
      </w:pPr>
    </w:p>
    <w:p w:rsidR="00451464" w:rsidRDefault="00451464">
      <w:pPr>
        <w:widowControl/>
        <w:suppressAutoHyphens w:val="0"/>
        <w:ind w:left="284"/>
        <w:jc w:val="both"/>
      </w:pPr>
    </w:p>
    <w:p w:rsidR="000B55BD" w:rsidRDefault="000B55BD" w:rsidP="00451464">
      <w:pPr>
        <w:widowControl/>
        <w:suppressAutoHyphens w:val="0"/>
        <w:jc w:val="both"/>
      </w:pPr>
      <w:r>
        <w:br w:type="page"/>
      </w:r>
    </w:p>
    <w:p w:rsidR="00A1733C" w:rsidRPr="00F76D24" w:rsidRDefault="00A1733C" w:rsidP="00F76D24">
      <w:pPr>
        <w:pStyle w:val="Akapitzlist"/>
        <w:numPr>
          <w:ilvl w:val="0"/>
          <w:numId w:val="4"/>
        </w:numPr>
        <w:jc w:val="left"/>
      </w:pPr>
      <w:r w:rsidRPr="00F76D24">
        <w:rPr>
          <w:b/>
        </w:rPr>
        <w:lastRenderedPageBreak/>
        <w:t>Zestawienie sprzętu dodatkowego</w:t>
      </w:r>
      <w:r w:rsidR="00F76D24" w:rsidRPr="00F76D24">
        <w:rPr>
          <w:b/>
        </w:rPr>
        <w:t xml:space="preserve"> </w:t>
      </w:r>
      <w:r w:rsidRPr="00F76D24">
        <w:t xml:space="preserve">(o parametrach nie gorszych niż wymienione w tabeli poniżej) </w:t>
      </w:r>
    </w:p>
    <w:p w:rsidR="00D17B64" w:rsidRDefault="00D17B64">
      <w:pPr>
        <w:rPr>
          <w:b w:val="0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/>
      </w:tblPr>
      <w:tblGrid>
        <w:gridCol w:w="8292"/>
        <w:gridCol w:w="424"/>
        <w:gridCol w:w="496"/>
      </w:tblGrid>
      <w:tr w:rsidR="00A1733C" w:rsidRPr="00510FAE" w:rsidTr="000B55BD">
        <w:trPr>
          <w:trHeight w:val="300"/>
        </w:trPr>
        <w:tc>
          <w:tcPr>
            <w:tcW w:w="4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UTM + 3 letnia licencja na użytkowanie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1.  Typ urządzenia: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Urządzenie klasy UTM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Unified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Threat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Management)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2.  Wyposażenie: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4 interfejsów LAN typu 1000Base-T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b.  1 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WAN / Internet 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typu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1000Base-T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Interfejs USB do podłączenia modemu 3G/4G/LTE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3.  Parametry wydajnościowe: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Wydajność zapory ogniowej L3: 250 Mb/s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 Wydajność zapory ogniowej z włączonym wszystkimi funkcjami bezpieczeństwa: 200 Mb/s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Wydajność IDS: 200 Mb/s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 Wydajność urządzenia z włączonymi wszystkimi funkcjami bezpieczeństwa (NAT, VPN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Split-tunnel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), filtrowanie treści,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anti-virus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anti-phishing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IPS): 200 Mb/s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e.  Minimalna ilość połączeń: 100 000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f.  Minimalna ilość połączeń na sekundę: 5000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g.  Przepustowość dla ruch VPN: 100 Mb/s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h.  Minimalna liczba sesji VPN: 25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4.  Parametry fizyczne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możliwość montażu w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19’’ lub montażu na ścianie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wysokość nie większa niż 1U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c.  praca w temperaturach 0 – 40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st.C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5.  Funkcje zintegrowanego systemu zarządzania zagrożeniami UTM obejmującego: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sieciowego w warstwie 3 - filtracja na podstawie: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protokołu sieciowego (TCP/UDP/dowolny);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źródłowe adresy IP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źródłowe porty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docelowe adresy IP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docelowe porty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aplikacyjnego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typu aplikacji w warstwie 7 – filtracja na podstawie następujących kategorii aplikacji internetowych: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Blogging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Email, File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Sharing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Gaming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News,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Online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backup,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Peer-to-peer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Web, Photo sparing, Software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updates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Anti-virus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updates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Sports, Video, Music, VOIP, Video Conferencing, Web file sharing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do zdefiniowanego serwera http przez podanie domeny sieciowej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internetowego na podstawie kryterium geograficznego (kraje)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blokowania ruchu poprzez podanie zakresów adresów IP i portów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Ograniczanie ruchu sieciowego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łączach WAN niezależnie dla każdego łącza poprzez podanie z dokładnością do 1 Mb/s określonych wartości dla kierunku UP (na zewnątrz) oraz DOWN (do wewnątrz) 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łączu komórkowym 3G/4G/LTE poprzez podanie z dokładnością do 100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określonych wartości dla kierunku UP (na zewnątrz) oraz DOWN (do wewnątrz) 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Na użytkownika sieci poprzez podanie limitu z dokładnością do 100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określonych wartości dla kierunku UP (na zewnątrz) oraz DOWN (do wewnątrz)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Dla określonego ruchu aplikacyjnego w warstwie 7 dokładnością do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określonych wartości dla kierunku UP (na zewnątrz) oraz DOWN (do wewnątrz):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Tworzenie do 8 reguł ograniczających ruch sieciowy, z których każda może się składać z dowolnej kombinacji aplikacji sieciowych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Możliwość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priorytetyzacji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 (wysoki priorytet, normalny priorytet, niski priorytet) oraz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oznaczania ruchu danym znacznikiem DSCP (od 0 do 7)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Blokowanie stron internetowych URL zgodne z CIPA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Children's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Internet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Protection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Act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) i należących do 70 różnych kategorii w tym: narkotyki, treści dla dorosłych oraz treści pornograficzne, alkohol i tytoń, aukcje,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botnety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potwierdzone i niepotwierdzone źródła spamu, strony o charakterze okultystycznym, portale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randkowe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moda i uroda, hazard, gry, strony wulgarne, strony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hakerskie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rasizm oraz szerzenie nienawiści, strony nielegalne, wyszukiwarki zdjęć oraz filmów,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keyloggery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monitory stacji, źródła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malware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wojskowość i militaria, oprogramowanie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to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peer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strony płatne,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blogi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phishing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serwisy umożliwiające omijanie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proxy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anonimizację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 sieci Internet, wyszukiwarki,  edukacja seksualna, oprogramowanie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shareware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freeware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zakupy,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social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networking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spyware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oraz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adware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, media strumieniowe, przemoc, broń, ogłoszenia sieciowe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Blokowanie treści dla dorosłych w wynikach działania najpopularniejszych wyszukiwarek internetowych: Google, Yahoo, Bing – funkcja działa dla wyszukiwania niezaszyfrowanego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e.  Blokowanie dostępu do zaszyfrowanego wyszukiwania treści internetowych w serwisie Google.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f.  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Funkcja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YouTube for Schools                 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g. 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definiowana własnej listy zabronionych (czarna lista) lub dozwolonych (biała lista) stron URL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h.  Wykrywanie i ochrona przed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malware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i.  Ochrona antywirusowa i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antyphishingowa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j.  Ochrona IPS i IDS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6.  Monitoring i analiza ruchu sieciowego w zakresie: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 Wykres ilości ruchu generowanego przez wszystkich użytkowników, jednego użytkownika lub grupę użytkowników w ciągu ostatniego dnia, ostatniego tygodnia i ostatniego miesiąca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Wykres ilości użytkowników podłączonych do sieci chronionej w ciągu ostatniego dnia, ostatniego tygodnia i ostatniego miesiąca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Szczegółowe informacje, jakie aplikacje sieciowe używają użytkownicy w sieci chronionej dla wszystkich użytkowników lub dla wybranego użytkownika z podaniem wolumenu przesłanego ruchu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7.  Funkcje koncentratora VPN dla łączenia ze sobą placówek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vpn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przy użyciu tuneli IPSEC i 128-bitowego szyfrowania AES) oraz dla podłączenia urządzeń klienckich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VPN):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Dla połączeń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obsługa trybu pracy tuneli VPN gdy cały ruch sieciowy jest tunelowany przez VPN lub trybu gdy ruch do publicznego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jest przesyłany bezpośrednio do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internetu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poza tunelem a ruch prywatny jest tunelowany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obsługa topologii gwiazdy lub pełnej siatki połączeń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Blokowanie ruchu sieciowego na poziomie reguł warstwy 3 wymienianego pomiędzy lokalizacjami połączonymi poprzez VPN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b. Dla połączeń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obsługa protokołu L2TP dla urządzeń klienckich typu: Windows, Mac OS, IOS lub Android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Automatyczna rejestracja do dynamicznego DNS na potrzeby dostępu VPN dla Klientów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Client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VPN) z możliwością zdefiniowana nazwy dla każdego z linków WAN niezależnie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8.  Funkcje routera do sieci Internet w zakresie: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a.  Fizyczne podłączenie do łącza lub łączy internetowych operatora (1 x WAN w postaci interfejsu Ethernet 1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/s) + interfejs USB do podłączenia modemu 3G/4G/LTE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 NAT / PAT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 Tryb pracy przeźroczystej (Bridge warstwy 2)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d.  Serwer DHCP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e. 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Routing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statyczny IP pomiędzy sieciami VLAN (po stronie LAN) i WAN oraz pomiędzy sieciami VLAN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f.  Wykorzystanie dwóch łączy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uplinkowych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WAN do sieci Internet w zakresie: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Load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balancing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ruchu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Wskazanie jaki ruch sieciowy (protokół, źródłowy adres IP, źródłowy port, docelowy adres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>IP, docelowy port) mają zostać skierowane do którego łącza WAN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Wykorzystanie łącza nr 2 w momencie awarii łącza nr 1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9.  Zarządzanie, monitorowanie i utrzymanie urządzenia: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 Monitoring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urządzenia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interfejsów WAN wraz z przypisanymi adresami IP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Dostęp do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event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loga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związanego z danym urządzeniem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Status portów LAN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Bieżący wykres ruchu internetowego (w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Kb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 lub Mb/s) odświeżany na bieżąco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Lista stacji sieciowy dzierżawiących adresy IP przez DHCP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Możliwość restartu zdalnego urządzenia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Wysyłania alertów mailowych na wskazane adresy mailowe w przypadku, gdy: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Urządzenie jest niedostępne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offline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Zmiana statusu podstawowego łącza WAN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Wyczerpanie puli adresów IP serwera DHCP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Wykrycie w sieci nielegalnego serwera DHCP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b. Konfiguracja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Konfiguracja i uruchomienie sieci VPN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site-to-site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Konfiguracja i zmiana ustawień w zakresie: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Tryb pracy, jako router lub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bridge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warstwy 3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NAT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Routing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statyczny i konfiguracja sieci VLAN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Serwer DHCP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Filtry warstwy 3 i filtry aplikacyjne warstwy 7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Filtry treści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Polityki ograniczenia pasma sieciowego do poziomu reguł obejmujących kombinacje aplikacji sieciowych warstwy 7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Konfiguracja grup użytkowników wraz z możliwością zdefiniowania dla grupy użytkowników następujących parametrów: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Godziny i dni tygodnia dostępności lub niedostępności dostępu do sieci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Ograniczenie pasma transmisji 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Określenie reguł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firewallingu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 warstwie 3 i 7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a.iv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reguł ograniczania ruchu sieciowego (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traffic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shaping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reguł filtracji stron i treści internetowych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 Określenie listy dozwolonych i niedozwolonych adresów URL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Uruchomienie lub wyłączenie filtrowania wyników przeszukiwania w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wyszukiwarkach internetowych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a.viii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. Włączenie lub wyłączenie funkcji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YouTube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for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Schools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c. Utrzymanie: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Automatyczna aktualizacja oprogramowania jednego lub wielu urządzeń z możliwością określenia okna czasowego, kiedy taka czynność może zostać wykonana przez system zarządzający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Informowanie administratora o dostępności nowej wersji oprogramowania dla danego typu urządzenia z możliwością zablokowania automatycznego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upgrade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, określenia, kiedy ma być wykonany lub natychmiastowego wykonania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upgrade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10.  Urządzenie obsługuje SNMP v2c oraz SYSLOG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11.  Urządzenie obsługuje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PPPoE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dla łącza WAN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12.  Wymagania dodatkowe: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Urządzenia objęte gwarancją „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lifetime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warranty” oraz serwisem wymiany urządzenia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next-business-day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>Zarządzanie i monitorowanie urządzeniem bezpieczeństwa UTM lub grupą takich urządzeń odbywa się poprzez aplikację zarządzającą dostępną w chmurze.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13. Jeśli niezbędne to wymaga się dostarczenia na urządzenie 3 – letniego  wsparcia oraz  3 letniej  licencji na jego wykorzystanie w zakresie opisanych funkcjonalności oraz serwisu 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lastRenderedPageBreak/>
              <w:t xml:space="preserve">wymiany urządzenia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next-business-day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5BD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Router </w:t>
            </w:r>
            <w:proofErr w:type="spellStart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19”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- 1.4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rdzeni procesora - 2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pamięci RAM  - 1 GB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Porty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ethernet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10/100/1000 - 10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Gniazdo zasilania - 1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in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Tak (pasywne)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PoE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out - Tak (port 10)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Monitor temperatury płytki PCB - Tak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Wymiary - 1U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Maksymalny pobór mocy  - 10 W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SFP - 1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Liczba portów USB – 1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Port szeregowy RJ45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sz w:val="20"/>
                <w:szCs w:val="20"/>
                <w:lang w:eastAsia="pl-PL"/>
              </w:rPr>
              <w:t>Serwer z oprogramowaniem</w:t>
            </w:r>
          </w:p>
          <w:p w:rsidR="00A1733C" w:rsidRPr="00A1733C" w:rsidRDefault="00A1733C" w:rsidP="00451464">
            <w:pPr>
              <w:pStyle w:val="NormalnyWeb"/>
              <w:shd w:val="clear" w:color="auto" w:fill="FFFFFF"/>
              <w:spacing w:after="300" w:line="276" w:lineRule="auto"/>
              <w:rPr>
                <w:rFonts w:ascii="Arial" w:hAnsi="Arial" w:cs="Arial"/>
                <w:i/>
                <w:sz w:val="20"/>
                <w:szCs w:val="28"/>
              </w:rPr>
            </w:pPr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Serwer typu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do pracowni terminalowej o parametrach nie gorszych niż: Procesor: dwa procesory posiadające minimum 8 rdzeni i 16 wątków oraz taktowaniu 2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GHz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, przy czym min. dwa procesory osiągające min 17700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pkt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w teście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PassMarkHigh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End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CPUs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http://cpubenchmark.net/cpu_list.php wraz z dedykowanym chłodzeniem uwzględniającym pełną wydajność procesora.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W przypadku zaoferowania procesora nie uwzględnionego w w/w rankingu Wykonawca przeprowadzi powyżej wskazany test we własnym zakresie i załączy do oferty raport wydajnościowy oferowanego procesora (wszystkie elementy muszą pracować z parametrami określonymi przez producenta danego podzespołu).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Nie dopuszcza się stosowania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overclocking-u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celem uzyskania wymaganej liczby punktów.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Płyta serwerowa: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rack/tower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, kompatybilna z procesorami, wersja PCI Express 3.0, zintegrowane karty sieci LAN 2x10GbE. Płyta posiada zintegrowany moduł zarządzający.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Pamięć RAM: 4 x 16GB  RDIMM DDR4 2400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MHz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;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Dysk twardy: 1 x 400 GB, 2,5  SSD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Dysk twardy: 1TB HDD SATA III - 6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Gb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/s7200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obr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/min 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Karta dźwiękowa wewnętrzna: Interfejs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PCIe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>, Liczba kanałów audio 5.1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Karta graficzna: dedykowana, uzyskująca co najmniej 9 200pkt w teście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Passmark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– G3D Mark według wyników kart graficznych publikowanych na stronie www.videocardbenchmark.net/gpu_list.php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W przypadku zaoferowania karty graficznej nie uwzględnionej w w/w rankingu Wykonawca przeprowadzi powyżej wskazany test we własnym zakresie i załączy do oferty raport wydajnościowy oferowanego procesora (wszystkie elementy muszą pracować z parametrami określonymi przez producenta danego podzespołu).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Napęd DVD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 xml:space="preserve">Serwer musi być wyposażony w wszelkie akcesoria potrzebne do prawidłowej konfiguracji oraz montażu w szafie </w:t>
            </w:r>
            <w:proofErr w:type="spellStart"/>
            <w:r w:rsidRPr="00A1733C">
              <w:rPr>
                <w:rFonts w:ascii="Arial" w:hAnsi="Arial" w:cs="Arial"/>
                <w:i/>
                <w:sz w:val="20"/>
                <w:szCs w:val="28"/>
              </w:rPr>
              <w:t>rack</w:t>
            </w:r>
            <w:proofErr w:type="spellEnd"/>
            <w:r w:rsidRPr="00A1733C">
              <w:rPr>
                <w:rFonts w:ascii="Arial" w:hAnsi="Arial" w:cs="Arial"/>
                <w:i/>
                <w:sz w:val="20"/>
                <w:szCs w:val="28"/>
              </w:rPr>
              <w:t xml:space="preserve"> .</w:t>
            </w:r>
            <w:r w:rsidRPr="00A1733C">
              <w:rPr>
                <w:rFonts w:ascii="Arial" w:hAnsi="Arial" w:cs="Arial"/>
                <w:i/>
                <w:sz w:val="20"/>
                <w:szCs w:val="28"/>
              </w:rPr>
              <w:br/>
              <w:t>Serwer będzie miał system tworzenia kopii zapasowej i backupu który przywraca działanie systemu operacyjnego w przypadku jego całkowitego uszkodzenia.</w:t>
            </w:r>
          </w:p>
          <w:p w:rsidR="00A1733C" w:rsidRPr="00A1733C" w:rsidRDefault="00A1733C" w:rsidP="00451464">
            <w:pPr>
              <w:spacing w:line="240" w:lineRule="auto"/>
              <w:rPr>
                <w:rFonts w:cs="Arial"/>
                <w:b w:val="0"/>
                <w:i/>
                <w:sz w:val="20"/>
                <w:szCs w:val="28"/>
              </w:rPr>
            </w:pPr>
            <w:r w:rsidRPr="00A1733C">
              <w:rPr>
                <w:rFonts w:cs="Arial"/>
                <w:b w:val="0"/>
                <w:i/>
                <w:sz w:val="20"/>
                <w:szCs w:val="28"/>
              </w:rPr>
              <w:t>Gwarancja 3 lata od daty dostawy w miejscu instalacji serwera usunięcie awarii w ciągu 5 dni roboczych po odebraniu zgłoszenia, a w przypadku braku możliwości naprawy w w/w terminie podstawienie sprzętu zastępczego o nie gorszych parametrach technicznych. W przypadku awarii dysków twardych w okresie gwarancji, dyski  pozostają u Zamawiającego — wymagane jest dołączenie do oferty oświadczenia podmiotu realizującego serwis tub producenta sprzętu o spełnieniu tego warunku.</w:t>
            </w:r>
          </w:p>
          <w:p w:rsidR="00A1733C" w:rsidRPr="00A1733C" w:rsidRDefault="00A1733C" w:rsidP="00451464">
            <w:pPr>
              <w:spacing w:line="240" w:lineRule="auto"/>
              <w:rPr>
                <w:rFonts w:cs="Arial"/>
                <w:b w:val="0"/>
                <w:i/>
                <w:sz w:val="20"/>
                <w:szCs w:val="28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oprogramowanie serwerowe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Serwer będzie posiadał zainstalowane i skonfigurowane oprogramowanie serwerowe (licencja na min 16 rdzeni procesora) o parametrach nie gorszych niż 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Licencje na serwerowy system operacyjny muszą być przypisane do każdego rdzenia procesora fizycznego na serwerze. Licencja musi uprawniać do uruchamiania serwerowego systemu operacyjnego w środowisku fizycznym i dwóch wirtualnych środowisk serwerowego systemu operacyjnego niezależnie od liczby rdzeni w serwerze fizycznym.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Serwerowy system operacyjny musi posiadać następujące, wbudowane cechy.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1. Możliwość wykorzystania 320 logicznych procesorów oraz co najmniej 4 TB pamięci RAM w środowisku fizycznym.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2. Możliwość wykorzystywania 64 procesorów wirtualnych oraz 1TB pamięci RAM i dysku o pojemności do 64TB przez każdy wirtualny serwerowy system operacyjny.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3. Możliwość budowania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klastrów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składających się z 64 węzłów, z możliwością uruchamiania 7000 maszyn wirtualnych.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4. Możliwość migracji maszyn wirtualnych bez zatrzymywania ich pracy między fizycznymi serwerami z uruchomionym mechanizmem wirtualizacji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hypervisor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 przez sieć Ethernet, bez konieczności stosowania dodatkowych mechanizmów współdzielenia pamięci.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5. Wsparcie (na umożliwiającym to sprzęcie) dodawania i wymiany pamięci RAM bez przerywania pracy.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6. Wsparcie (na umożliwiającym to sprzęcie) dodawania i wymiany procesorów bez przerywania pracy.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7. Automatyczna weryfikacja cyfrowych sygnatur sterowników w celu sprawdzenia, czy sterownik przeszedł testy jakości przeprowadzone przez producenta systemu operacyjnego.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8. Możliwość dynamicznego obniżania poboru energii przez rdzenie procesorów niewykorzystywane w bieżącej pracy. Mechanizm ten musi uwzględniać specyfikę procesorów wyposażonych w mechanizmy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Hyper-Threading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9. Wbudowane wsparcie instalacji i pracy na wolumenach, które: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pozwalają na zmianę rozmiaru w czasie pracy systemu,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umożliwiają tworzenie w czasie pracy systemu migawek, dających użytkownikom końcowym (lokalnym i sieciowym) prosty wgląd w poprzednie wersje plików i folderów,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c)umożliwiają kompresję "w locie" dla wybranych plików i/lub folderów,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d) umożliwiają zdefiniowanie list kontroli dostępu (ACL).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10. Wbudowany mechanizm klasyfikowania i indeksowania plików (dokumentów) w oparciu o ich zawartość.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11. Wbudowane szyfrowanie dysków przy pomocy mechanizmów posiadających certyfikat FIPS 140-2 lub równoważny wydany przez NIST lub inną agendę rządową zajmującą się bezpieczeństwem informacji.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12. Możliwość uruchamianie aplikacji internetowych wykorzystujących technologię ASP.NET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13. Możliwość dystrybucji ruchu sieciowego HTTP pomiędzy kilka serwerów.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14. Wbudowana zapora internetowa (firewall) z obsługą definiowanych reguł dla ochrony połączeń internetowych i intranetowych.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15. Dostępne dwa rodzaje graficznego interfejsu użytkownika: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Klasyczny, umożliwiający obsługę przy pomocy klawiatury i myszy,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Dotykowy umożliwiający sterowanie dotykiem na monitorach dotykowych.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16. Zlokalizowane w języku polskim, co najmniej następujące elementy: menu, przeglądarka internetowa, pomoc, komunikaty systemowe.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17. Możliwość zmiany języka interfejsu po zainstalowaniu systemu, dla co najmniej 10 języków poprzez wybór z listy dostępnych lokalizacji.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18. Mechanizmy logowania w oparciu o: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Login i hasło,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Karty z certyfikatami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smartcard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 Wirtualne karty (logowanie w oparciu o certyfikat chroniony poprzez moduł TPM),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19. Możliwość wymuszania wieloelementowej dynamicznej kontroli dostępu dla: określonych grup użytkowników, zastosowanej klasyfikacji danych, centralnych polityk dostępu w sieci, centralnych polityk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audytowych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oraz narzuconych dla grup użytkowników praw do wykorzystywania szyfrowanych danych..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20. Wsparcie dla większości powszechnie używanych urządzeń peryferyjnych (drukarek, urządzeń sieciowych, standardów USB,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Plug&amp;Play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21. Możliwość zdalnej konfiguracji, administrowania oraz aktualizowania systemu.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22. Dostępność bezpłatnych narzędzi producenta systemu umożliwiających badanie i wdrażanie zdefiniowanego zestawu polityk bezpieczeństwa.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 xml:space="preserve">23. Pochodzący od producenta systemu serwis zarządzania polityką dostępu do informacji w dokumentach (Digital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Rights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Management).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24. Wsparcie dla środowisk Java i .NET Framework 4.x – możliwość uruchomienia aplikacji działających we wskazanych środowiskach.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25. Możliwość implementacji następujących funkcjonalności bez potrzeby instalowania dodatkowych produktów (oprogramowania) innych producentów wymagających dodatkowych licencji: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a) Podstawowe usługi sieciowe: DHCP oraz DNS wspierający DNSSEC,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b) Usługi katalogowe oparte o LDAP i pozwalające na uwierzytelnianie użytkowników stacji roboczych, bez konieczności instalowania dodatkowego oprogramowania na tych stacjach, pozwalające na zarządzanie zasobami w sieci (użytkownicy, komputery, drukarki, udziały sieciowe), z możliwością wykorzystania następujących funkcji: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Podłączenie do domeny w trybie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offline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– bez dostępnego połączenia sieciowego z domeną,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Ustanawianie praw dostępu do zasobów domeny na bazie sposobu logowania użytkownika – na przykład typu certyfikatu użytego do logowania,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Odzyskiwanie przypadkowo skasowanych obiektów usługi katalogowej z mechanizmu kosza.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Bezpieczny mechanizm dołączania do domeny uprawnionych użytkowników prywatnych urządzeń mobilnych opartych o systemy operacyjne.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c) Zdalna dystrybucja oprogramowania na stacje robocze.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d) Praca zdalna na serwerze z wykorzystaniem terminala (cienkiego klienta) lub odpowiednio skonfigurowanej stacji roboczej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e) Centrum Certyfikatów (CA), obsługa klucza publicznego i prywatnego) umożliwiające: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Dystrybucję certyfikatów poprzez http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Konsolidację CA dla wielu lasów domeny,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Automatyczne rejestrowania certyfikatów pomiędzy różnymi lasami domen,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Automatyczne występowanie i używanie (wystawianie) certyfikatów PKI X.509.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f) Szyfrowanie plików i folderów.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g) Szyfrowanie połączeń sieciowych pomiędzy serwerami oraz serwerami i stacjami roboczymi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IPSec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h) Możliwość tworzenia systemów wysokiej dostępności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klastry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fail-over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 oraz rozłożenia obciążenia serwerów.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i) Serwis udostępniania stron WWW.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j) Wsparcie dla protokołu IP w wersji 6 (IPv6),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k) Wsparcie dla algorytmów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Suite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B (RFC 4869),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l) Wbudowane usługi VPN pozwalające na zestawienie nielimitowanej liczby równoczesnych połączeń i niewymagające instalacji dodatkowego oprogramowania na komputerach z systemem operacyjnym,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ł) Wbudowane mechanizmy wirtualizacji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Hypervisor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) pozwalające na uruchamianie do 1000 aktywnych środowisk wirtualnych systemów operacyjnych. Wirtualne maszyny w trakcie pracy i bez zauważalnego zmniejszenia ich dostępności mogą być przenoszone pomiędzy serwerami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klastra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failover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z jednoczesnym zachowaniem pozostałej funkcjonalności. Mechanizmy wirtualizacji mają zapewnić wsparcie dla: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Dynamicznego podłączania zasobów dyskowych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hot-plug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do maszyn wirtualnych,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Obsługi ramek typu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jumbo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frames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dla maszyn wirtualnych.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Obsługi 4-KB sektorów dysków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Nielimitowanej liczby jednocześnie przenoszonych maszyn wirtualnych pomiędzy węzłami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klastra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Możliwości wirtualizacji sieci z zastosowaniem przełącznika, którego funkcjonalność może być rozszerzana jednocześnie poprzez oprogramowanie kilku innych dostawców poprzez otwarty interfejs API.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- Możliwości kierowania ruchu sieciowego z wielu sieci VLAN bezpośrednio do pojedynczej karty sieciowej maszyny wirtualnej (tzw.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trunk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mode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26. Możliwość automatycznej aktualizacji w oparciu o poprawki publikowane przez producenta wraz z dostępnością bezpłatnego rozwiązania producenta serwerowego systemu operacyjnego umożliwiającego lokalną dystrybucję poprawek zatwierdzonych przez administratora, bez połączenia z siecią Internet.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27. Wsparcie dostępu do zasobu dyskowego poprzez wiele ścieżek (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Multipath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).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28. Możliwość instalacji poprawek poprzez wgranie ich do obrazu instalacyjnego.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lastRenderedPageBreak/>
              <w:t>29. Mechanizmy zdalnej administracji oraz mechanizmy (również działające zdalnie) administracji przez skrypty.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30. Możliwość zarządzania przez wbudowane mechanizmy zgodne ze standardami WBEM oraz </w:t>
            </w:r>
            <w:proofErr w:type="spellStart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WS-Management</w:t>
            </w:r>
            <w:proofErr w:type="spellEnd"/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 xml:space="preserve"> organizacji DMTF.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31. Zorganizowany system szkoleń i materiały edukacyjne w języku polskim.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Serwer będzie posiadał zainstalowane i skonfigurowane oprogramowanie do filtrowania treści o parametrach nie gorszych niż :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Oprogramowanie musi mieć polską wersję językową.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sz w:val="20"/>
                <w:szCs w:val="20"/>
                <w:lang w:eastAsia="pl-PL"/>
              </w:rPr>
              <w:t>- Oprogramowanie musi spełniać wymagania Ustawy - Prawo oświatowe w zakresie wymogu instalacji i aktualizacji w szkole oprogramowania do zabezpieczeń.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  <w:tr w:rsidR="00A1733C" w:rsidRPr="00510FAE" w:rsidTr="000B55BD">
        <w:trPr>
          <w:trHeight w:val="300"/>
        </w:trPr>
        <w:tc>
          <w:tcPr>
            <w:tcW w:w="4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Serwer plików NAS + 2 dyski 4 TB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Typ obudowy urządzenia NAS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(1U)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zainstalowanych procesorów - 1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Częstotliwość procesora - 1,7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GHz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Pojemność zainstalowanej pamięci - 8 GB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Rodzaj zainstalowanej pamięci - DDR3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Maksymalna ilość dysków - 4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Zamontowane dyski 4TB - 2 szt. 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Szybkość interfejsu dysku - 600 MB/s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Pojemność pamięci podręcznej - 64 MB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Odporność na wstrząsy - praca 30G / spoczynek 250G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Średni czas między uszkodzeniami (MTBF) - 1000000 h</w:t>
            </w:r>
          </w:p>
          <w:p w:rsidR="00A1733C" w:rsidRPr="00A1733C" w:rsidRDefault="00A1733C" w:rsidP="00451464">
            <w:pPr>
              <w:pStyle w:val="Akapitzlist"/>
              <w:numPr>
                <w:ilvl w:val="0"/>
                <w:numId w:val="1"/>
              </w:numPr>
              <w:spacing w:line="240" w:lineRule="auto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Stopa błędów przy odczycie - 1:10E14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Zainstalowane sterowniki dysków - 4 x SATA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Poziomy RAID - 0, 1, JBOD, 5, 6, 10, 5 +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spare</w:t>
            </w:r>
            <w:proofErr w:type="spellEnd"/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Karta sieciowa 10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Gbit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/s - 2 x 10/100/1000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Mbit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/s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wolnych kieszeni 3,5", 2,5" - 4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Ilość półek na dyski Hot </w:t>
            </w:r>
            <w:proofErr w:type="spellStart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Swap</w:t>
            </w:r>
            <w:proofErr w:type="spellEnd"/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 xml:space="preserve"> - 2 szt.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Interfejsy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: 4 x USB 3.0, 2 x RJ-45, 1 x 10GbE (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lan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)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Ilość zasilaczy - 1 szt.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Moc zasilacza (zasilaczy) - 100 Wat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Obsługiwane protokoły i standardy</w:t>
            </w: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ab/>
              <w:t xml:space="preserve"> 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CIFS/SMB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AFP 3.3</w:t>
            </w:r>
          </w:p>
          <w:p w:rsidR="00A1733C" w:rsidRPr="00A1733C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</w:pPr>
            <w:r w:rsidRPr="00A1733C">
              <w:rPr>
                <w:rFonts w:eastAsia="Times New Roman" w:cs="Arial"/>
                <w:b w:val="0"/>
                <w:color w:val="000000"/>
                <w:sz w:val="20"/>
                <w:szCs w:val="20"/>
                <w:lang w:eastAsia="pl-PL"/>
              </w:rPr>
              <w:t>•  FTP/FTPS - protokół transmisji plików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 - Hypertext Transfer Protocol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HTTPS - Hypertext Transfer Protocol Secure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Telnet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•  </w:t>
            </w:r>
            <w:proofErr w:type="spellStart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iSCSI</w:t>
            </w:r>
            <w:proofErr w:type="spellEnd"/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 xml:space="preserve"> - Internet SCSI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SSH - Secure Shall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SNMP - Simple Network Management Protocol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SMTP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TCP/IP - Transmission Control Protocol/Internet Protocol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Client - Dynamic Host Configuration Protocol Client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DHCP Server - Dynamic Host Configuration Protocol Server</w:t>
            </w:r>
          </w:p>
          <w:p w:rsidR="00A1733C" w:rsidRPr="009B12A6" w:rsidRDefault="00A1733C" w:rsidP="00451464">
            <w:pPr>
              <w:spacing w:line="240" w:lineRule="auto"/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</w:pPr>
            <w:r w:rsidRPr="009B12A6">
              <w:rPr>
                <w:rFonts w:eastAsia="Times New Roman" w:cs="Arial"/>
                <w:b w:val="0"/>
                <w:color w:val="000000"/>
                <w:sz w:val="20"/>
                <w:szCs w:val="20"/>
                <w:lang w:val="en-US" w:eastAsia="pl-PL"/>
              </w:rPr>
              <w:t>•  UPnP - Universal plug-and-play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right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1733C" w:rsidRPr="00510FAE" w:rsidRDefault="00A1733C" w:rsidP="00451464">
            <w:pPr>
              <w:spacing w:line="240" w:lineRule="auto"/>
              <w:jc w:val="center"/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</w:pPr>
            <w:r w:rsidRPr="00510FAE">
              <w:rPr>
                <w:rFonts w:eastAsia="Times New Roman" w:cs="Arial"/>
                <w:color w:val="000000"/>
                <w:sz w:val="20"/>
                <w:szCs w:val="20"/>
                <w:lang w:eastAsia="pl-PL"/>
              </w:rPr>
              <w:t>szt.</w:t>
            </w:r>
          </w:p>
        </w:tc>
      </w:tr>
    </w:tbl>
    <w:p w:rsidR="00A1733C" w:rsidRDefault="00A1733C">
      <w:pPr>
        <w:rPr>
          <w:b w:val="0"/>
        </w:rPr>
      </w:pPr>
    </w:p>
    <w:p w:rsidR="00A1733C" w:rsidRPr="00A1733C" w:rsidRDefault="00A1733C">
      <w:pPr>
        <w:rPr>
          <w:b w:val="0"/>
        </w:rPr>
      </w:pPr>
    </w:p>
    <w:sectPr w:rsidR="00A1733C" w:rsidRPr="00A1733C" w:rsidSect="00F76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61A"/>
    <w:multiLevelType w:val="hybridMultilevel"/>
    <w:tmpl w:val="B4FCD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46F5F"/>
    <w:multiLevelType w:val="hybridMultilevel"/>
    <w:tmpl w:val="4B36A370"/>
    <w:lvl w:ilvl="0" w:tplc="40567720">
      <w:start w:val="1"/>
      <w:numFmt w:val="decimal"/>
      <w:lvlText w:val="%1."/>
      <w:lvlJc w:val="left"/>
      <w:pPr>
        <w:ind w:left="735" w:hanging="375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386BD1"/>
    <w:multiLevelType w:val="hybridMultilevel"/>
    <w:tmpl w:val="EDCEAD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1A0520"/>
    <w:multiLevelType w:val="hybridMultilevel"/>
    <w:tmpl w:val="76F8A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211"/>
  <w:characterSpacingControl w:val="doNotCompress"/>
  <w:compat/>
  <w:rsids>
    <w:rsidRoot w:val="00A1733C"/>
    <w:rsid w:val="000B55BD"/>
    <w:rsid w:val="00124C3A"/>
    <w:rsid w:val="00451464"/>
    <w:rsid w:val="007E4CF0"/>
    <w:rsid w:val="009B12A6"/>
    <w:rsid w:val="00A1733C"/>
    <w:rsid w:val="00B771EF"/>
    <w:rsid w:val="00D17B64"/>
    <w:rsid w:val="00DE503F"/>
    <w:rsid w:val="00F171C9"/>
    <w:rsid w:val="00F34895"/>
    <w:rsid w:val="00F76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733C"/>
    <w:pPr>
      <w:widowControl w:val="0"/>
      <w:suppressAutoHyphens/>
      <w:ind w:left="0"/>
      <w:jc w:val="left"/>
    </w:pPr>
    <w:rPr>
      <w:rFonts w:ascii="Arial" w:eastAsia="Lucida Sans Unicode" w:hAnsi="Arial" w:cs="Times New Roman"/>
      <w:b/>
      <w:kern w:val="1"/>
      <w:sz w:val="21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autoRedefine/>
    <w:qFormat/>
    <w:rsid w:val="00A1733C"/>
    <w:pPr>
      <w:keepNext/>
      <w:tabs>
        <w:tab w:val="left" w:pos="5051"/>
      </w:tabs>
      <w:spacing w:before="60" w:after="60" w:line="240" w:lineRule="exact"/>
      <w:contextualSpacing/>
      <w:outlineLvl w:val="1"/>
    </w:pPr>
    <w:rPr>
      <w:rFonts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1733C"/>
    <w:rPr>
      <w:rFonts w:ascii="Arial" w:eastAsia="Lucida Sans Unicode" w:hAnsi="Arial" w:cs="Arial"/>
      <w:b/>
      <w:kern w:val="1"/>
      <w:sz w:val="21"/>
      <w:szCs w:val="24"/>
      <w:lang w:eastAsia="ar-SA"/>
    </w:rPr>
  </w:style>
  <w:style w:type="paragraph" w:customStyle="1" w:styleId="font6">
    <w:name w:val="font6"/>
    <w:basedOn w:val="Normalny"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eastAsia="Times New Roman"/>
      <w:b w:val="0"/>
      <w:color w:val="000000"/>
      <w:kern w:val="0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1733C"/>
    <w:pPr>
      <w:widowControl/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b w:val="0"/>
      <w:kern w:val="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A1733C"/>
    <w:pPr>
      <w:widowControl/>
      <w:suppressAutoHyphens w:val="0"/>
      <w:ind w:left="720"/>
      <w:contextualSpacing/>
      <w:jc w:val="both"/>
    </w:pPr>
    <w:rPr>
      <w:rFonts w:asciiTheme="minorHAnsi" w:eastAsiaTheme="minorHAnsi" w:hAnsiTheme="minorHAnsi" w:cstheme="minorBidi"/>
      <w:b w:val="0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3602</Words>
  <Characters>21614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Ania Kuczko</cp:lastModifiedBy>
  <cp:revision>5</cp:revision>
  <dcterms:created xsi:type="dcterms:W3CDTF">2018-09-05T12:04:00Z</dcterms:created>
  <dcterms:modified xsi:type="dcterms:W3CDTF">2018-09-21T12:57:00Z</dcterms:modified>
</cp:coreProperties>
</file>